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77C6" w14:textId="383CE4EE" w:rsidR="00F64C19" w:rsidRPr="0015120D" w:rsidRDefault="0015120D" w:rsidP="0015120D">
      <w:pPr>
        <w:spacing w:line="480" w:lineRule="auto"/>
        <w:jc w:val="both"/>
        <w:rPr>
          <w:rFonts w:hAnsi="Calibri" w:cs="Calibri"/>
          <w:b/>
          <w:bCs/>
          <w:szCs w:val="22"/>
          <w:lang w:val="en-US"/>
        </w:rPr>
      </w:pPr>
      <w:r w:rsidRPr="0015120D">
        <w:rPr>
          <w:rFonts w:hAnsi="Calibri" w:cs="Calibri"/>
          <w:b/>
          <w:bCs/>
          <w:szCs w:val="22"/>
          <w:lang w:val="en-US"/>
        </w:rPr>
        <w:t>SUPPLEMENTARY MATERIALS</w:t>
      </w:r>
    </w:p>
    <w:p w14:paraId="689FBE48" w14:textId="08152152" w:rsidR="00334D82" w:rsidRPr="0015120D" w:rsidRDefault="0015120D" w:rsidP="0015120D">
      <w:pPr>
        <w:spacing w:line="480" w:lineRule="auto"/>
        <w:jc w:val="both"/>
        <w:rPr>
          <w:rFonts w:hAnsi="Calibri" w:cs="Calibri"/>
          <w:szCs w:val="22"/>
        </w:rPr>
      </w:pPr>
      <w:r w:rsidRPr="0015120D">
        <w:rPr>
          <w:rFonts w:hAnsi="Calibri" w:cs="Calibri"/>
          <w:b/>
          <w:bCs/>
          <w:szCs w:val="22"/>
          <w:lang w:val="en-US"/>
        </w:rPr>
        <w:t>METHODOLOGY DETAILS</w:t>
      </w:r>
      <w:r>
        <w:rPr>
          <w:rFonts w:hAnsi="Calibri" w:cs="Calibri"/>
          <w:b/>
          <w:bCs/>
          <w:szCs w:val="22"/>
          <w:lang w:val="en-US"/>
        </w:rPr>
        <w:t>:</w:t>
      </w:r>
    </w:p>
    <w:p w14:paraId="16D02A0C" w14:textId="5BE483C3" w:rsidR="00334D82" w:rsidRPr="0015120D" w:rsidRDefault="00334D82" w:rsidP="0015120D">
      <w:pPr>
        <w:spacing w:line="480" w:lineRule="auto"/>
        <w:jc w:val="both"/>
        <w:rPr>
          <w:rFonts w:hAnsi="Calibri" w:cs="Calibri"/>
          <w:szCs w:val="22"/>
          <w:lang w:val="it-IT"/>
        </w:rPr>
      </w:pPr>
      <w:r w:rsidRPr="0015120D">
        <w:rPr>
          <w:rFonts w:hAnsi="Calibri" w:cs="Calibri"/>
          <w:szCs w:val="22"/>
        </w:rPr>
        <w:t xml:space="preserve">ML models were used to classify LULC in the present study. These models have number of settings for image classification. These models are commonly used by many researchers for remote sensing analysis </w:t>
      </w:r>
      <w:r w:rsidRPr="0015120D">
        <w:rPr>
          <w:rFonts w:hAnsi="Calibri" w:cs="Calibri"/>
          <w:szCs w:val="22"/>
        </w:rPr>
        <w:fldChar w:fldCharType="begin" w:fldLock="1"/>
      </w:r>
      <w:r w:rsidRPr="0015120D">
        <w:rPr>
          <w:rFonts w:hAnsi="Calibri" w:cs="Calibri"/>
          <w:szCs w:val="22"/>
        </w:rPr>
        <w:instrText xml:space="preserve">ADDIN CSL_CITATION {"citationItems":[{"id":"ITEM-1","itemData":{"DOI":"https://doi.org/10.1016/j.enconman.2018.02.087","ISSN":"0196-8904","abstract":"The knowledge of global solar radiation (H) is a prerequisite for the use of renewable solar energy, but H measurements are always not available due to high costs and technical complexities. The present study proposes two machine learning algorithms, i.e. Support Vector Machine (SVM) and a novel simple tree-based ensemble method named Extreme Gradient Boosting (XGBoost), for accurate prediction of daily H using limited meteorological data. Daily H, maximum and minimum air temperatures (Tmax and Tmin), transformed precipitation (Pt, 1 for rainfall &gt; 0 and 0 for rainfall = 0) and extra-terrestrial solar radiation (H0) during 1966–2000 and 2001–2015 from three radiation stations in humid subtropical China were used to train and test the models, respectively. Two combinations of input parameters, i.e. (i) only Tmax, Tmin and Ra, and (ii) complete data were considered for simulations. The proposed machine learning models were also compared with four well-known empirical models to evaluate their performances. The results suggest that the SVM and XGBoost models outperformed the selected empirical models. The performance of the machine learning models was improved by 5.9–12.2% for training phase and by 8.0–11.5% for testing phase in terms of RMSE when information of precipitation was further included. Compared with the SVM model, the XGBoost model generally showed better performance for training phase, and slightly weaker but comparable performance for testing phase in terms of accuracy. However, the XGBoost model was more stable with average increase of 6.3% in RMSE, compared to 10.5% for the SVM algorithm. Also, the XGBoost model (3.02 s and 0.05 s for training and testing phase, respectively) showed much higher computation speed than the SVM model (27.48 s and 4.13 s for training and testing phase, respectively). By jointly considering the prediction accuracy, model stability and computational efficiency, the XGBoost model is highly recommended to estimate daily H using commonly available temperature and precipitation data with excellent performance in humid subtropical climates.","author":[{"dropping-particle":"","family":"Fan","given":"Junliang","non-dropping-particle":"","parse-names":false,"suffix":""},{"dropping-particle":"","family":"Wang","given":"Xiukang","non-dropping-particle":"","parse-names":false,"suffix":""},{"dropping-particle":"","family":"Wu","given":"Lifeng","non-dropping-particle":"","parse-names":false,"suffix":""},{"dropping-particle":"","family":"Zhou","given":"Hanmi","non-dropping-particle":"","parse-names":false,"suffix":""},{"dropping-particle":"","family":"Zhang","given":"Fucang","non-dropping-particle":"","parse-names":false,"suffix":""},{"dropping-particle":"","family":"Yu","given":"Xiang","non-dropping-particle":"","parse-names":false,"suffix":""},{"dropping-particle":"","family":"Lu","given":"Xianghui","non-dropping-particle":"","parse-names":false,"suffix":""},{"dropping-particle":"","family":"Xiang","given":"Youzhen","non-dropping-particle":"","parse-names":false,"suffix":""}],"container-title":"Energy Conversion and Management","id":"ITEM-1","issued":{"date-parts":[["2018"]]},"page":"102-111","title":"Comparison of Support Vector Machine and Extreme Gradient Boosting for predicting daily global solar radiation using temperature and precipitation in humid subtropical climates: A case study in China","type":"article-journal","volume":"164"},"uris":["http://www.mendeley.com/documents/?uuid=9f8001a2-bac1-4b36-8bac-b4931e71e8c6"]},{"id":"ITEM-2","itemData":{"DOI":"10.1080/01431160512331314083","ISSN":"01431161","abstract":"Support vector machines (SVM) represent a promising development in machine learning research that is not widely used within the remote sensing community. This paper reports the results of two experiments in which multi-class SVMs are compared with maximum likelihood (ML) and artificial neural network (ANN) methods in terms of classification accuracy. The two land cover classification experiments use multispectral (Landsat-7 ETM+) and hyperspectral. (DAIS) data, respectively, for test areas in eastern England and central Spain. Our results show that the SVM achieves a higher level of classification accuracy than either the ML or the ANN classifier, and that the SVM can be used with small training datasets and high-dimensional data. © 2005 Taylor &amp; Francis Ltd.","author":[{"dropping-particle":"","family":"Pal","given":"M.","non-dropping-particle":"","parse-names":false,"suffix":""},{"dropping-particle":"","family":"Mather","given":"P. M.","non-dropping-particle":"","parse-names":false,"suffix":""}],"container-title":"International Journal of Remote Sensing","id":"ITEM-2","issue":"5","issued":{"date-parts":[["2005"]]},"page":"1007-1011","title":"Support vector machines for classification in remote sensing","type":"article-journal","volume":"26"},"uris":["http://www.mendeley.com/documents/?uuid=07991990-c762-42c6-877e-be09e346aff7"]},{"id":"ITEM-3","itemData":{"DOI":"10.14358/PERS.82.6.437","ISSN":"00991112","abstract":"The probability of palustrine wetland occurrence in the state of West Virginia, USA, was mapped based on topographic variables and using random forests (RF) machine learning. Models were developed for both selected ecological subregions and the entire state. The models were first trained using pixels randomly selected from the United States National Wetland Inventory (NWI) dataset and were tested using a separate random subset from the NWI and a database of wetlands not found in the NWI provided by the West Virginia Division of Natural Resources (WVDNR). The models produced area under the curve (AUC) values in excess of 0.90, and as high as 0.998. Models developed in one ecological subregion of the state produced significantly different AUC values when applied to other subregions, indicating that the topographical models should be extrapolated to new physiographic regions with caution. Several previously unexplored DEM-derived terrain variables were found to be of value, including distance from water bodies, roughness, and dissection. Non-NWI wetlands were mapped with an AUC value of 0.956, indicating that the probability maps may be useful for finding potential palustrine wetlands not found in the NWI.","author":[{"dropping-particle":"","family":"Maxwell","given":"Aaron E.","non-dropping-particle":"","parse-names":false,"suffix":""},{"dropping-particle":"","family":"Warner","given":"Timothy A.","non-dropping-particle":"","parse-names":false,"suffix":""},{"dropping-particle":"","family":"Strager","given":"Michael P.","non-dropping-particle":"","parse-names":false,"suffix":""}],"container-title":"Photogrammetric Engineering and Remote Sensing","id":"ITEM-3","issue":"6","issued":{"date-parts":[["2016"]]},"page":"437-447","title":"Predicting palustrine wetland probability using random forest machine learning and digital elevation data-derived terrain variables","type":"article-journal","volume":"82"},"uris":["http://www.mendeley.com/documents/?uuid=5a3c851c-484d-49c5-a309-ae29e10c8d17"]},{"id":"ITEM-4","itemData":{"DOI":"10.1080/01431160802007624","ISSN":"13665901","abstract":"This letter presents the results of two different ensemble approaches to increase the accuracy of land cover classification using support vector machines. Finite ensemble approaches, based on boosting and bagging and infinite ensemble created by embedding the infinite hypothesis in the kernel of support vector machines, are discussed. Results suggest that the infinite ensemble approach provides a significant increase in the classification accuracy in comparison to the radial basis function kernel-based support vector machines. While using finite ensemble approaches, bagging works well and provides a comparable performance to the infinite ensemble approach, whereas boosting decreases the performance of support vector machines. Comparison in terms of computational cost suggests that finite ensemble approaches require a large processing time in comparison to the infinite ensemble approach.","author":[{"dropping-particle":"","family":"Pal","given":"M.","non-dropping-particle":"","parse-names":false,"suffix":""}],"container-title":"International Journal of Remote Sensing","id":"ITEM-4","issue":"10","issued":{"date-parts":[["2008"]]},"page":"3043-3049","title":"Ensemble of support vector machines for land cover classification","type":"article-journal","volume":"29"},"uris":["http://www.mendeley.com/documents/?uuid=4a91c49b-9f1b-40a4-a06b-90e77c61e8cc"]},{"id":"ITEM-5","itemData":{"DOI":"10.1080/15481603.2013.819161","ISSN":"15481603","abstract":"This research investigated three machine learning approaches - decision trees, random forest, and support vector machines - to classify local forest communities at the Huntington Wildlife Forest (HWF), located in the central Adirondack Mountains of New York State, and to identify forest type change over a 20-year period using multi-temporal Landsat satellite Thematic Mapper (TM) data. Because some forest species are sensitive to topographic characteristics, three terrain correction methods - C correction, statistical-empirical (SE) correction, and Variable Empirical Coefficient Algorithm (VECA) - were utilized to account for the topographic effects. Results show that the topographic correction slightly improved the classification accuracy although the improvement was not significant based on the McNemar test. Random forest and support vector machines produced higher classification accuracies than decision trees. Besides, random forest- and support vector machine-based multi-temporal classifications better reflected the forest type change seen in the reference data. In addition, topographic features such as elevation and aspect played important roles in characterizing the forest type changes. © 2013 Copyright Taylor and Francis Group, LLC.","author":[{"dropping-particle":"","family":"Li","given":"Manqi","non-dropping-particle":"","parse-names":false,"suffix":""},{"dropping-particle":"","family":"Im","given":"Jungho","non-dropping-particle":"","parse-names":false,"suffix":""},{"dropping-particle":"","family":"Beier","given":"Colin","non-dropping-particle":"","parse-names":false,"suffix":""}],"container-title":"GIScience and Remote Sensing","id":"ITEM-5","issue":"4","issued":{"date-parts":[["2013"]]},"page":"361-384","title":"Machine learning approaches for forest classification and change analysis using multi-temporal Landsat TM images over Huntington Wildlife Forest","type":"article-journal","volume":"50"},"uris":["http://www.mendeley.com/documents/?uuid=9bb9a15c-0809-4016-9632-8dd4b778ff1f"]},{"id":"ITEM-6","itemData":{"DOI":"10.14358/PERS.74.2.239","ISSN":"00991112","abstract":"Remote sensing image classification has proven to be attractive for extracting useful thematic information such as landcover. However, often for a given application, spectral information acquired by a remote sensing sensor may not be sufficient to derive accurate information. Incorporation of data from other sources such as a digital elevation model (DEM), and geophysical and geological data may assist in achieving more accurate land-cover classification from remote sensing images. Recently, support vector machines (SVM) have been proposed as an alternative for classification of remote sensing data, and the results are promising. In this paper, we employ the SVM algorithm to perform multi-source classification. An IRS-1C LISS III image along with normalized differenced vegetation index (NDVI) image and DEM are used to produce a land-cover classification for a region in the Himalayas. The accuracy of SVM-based multi-source classification is compared with several other non-parametric algorithms namely a decision tree classifier, and back propagation and radial basis function neural network classifiers. The well-known kappa coefficient of agreement is used to assess classification accuracy. The differences in the kappa coefficient of classifiers have been statistically evaluated using a pairwise Z-test. The results show a significant increase in the accuracy of the SVM based classifier on incorporation of ancillary data over classification performed solely on the basis of spectral data from remote sensing sensors. © 2008 American Society for Photogrammetry and Remote Sensing.","author":[{"dropping-particle":"","family":"Watanachaturaporn","given":"Pakorn","non-dropping-particle":"","parse-names":false,"suffix":""},{"dropping-particle":"","family":"Arora","given":"Manoj K.","non-dropping-particle":"","parse-names":false,"suffix":""},{"dropping-particle":"","family":"Varshney","given":"Pramod K.","non-dropping-particle":"","parse-names":false,"suffix":""}],"container-title":"Photogrammetric Engineering and Remote Sensing","id":"ITEM-6","issue":"2","issued":{"date-parts":[["2008"]]},"page":"239-246","title":"Multisource classification using support vector machines: An empirical comparison with decision tree and neural network classifiers","type":"article-journal","volume":"74"},"uris":["http://www.mendeley.com/documents/?uuid=7a86acc3-99a2-4364-af5f-f8c4b4447552"]},{"id":"ITEM-7","itemData":{"DOI":"10.1029/2019WR026065","abstract":"Long short-term memory (LSTM) networks offer unprecedented accuracy for prediction in ungauged basins. We trained and tested several LSTMs on 531 basins from the CAMELS data set using k-fold validation, so that predictions were made in basins that supplied no training data. The training and test data set included </w:instrText>
      </w:r>
      <w:r w:rsidRPr="0015120D">
        <w:rPr>
          <w:rFonts w:ascii="Cambria Math" w:hAnsi="Cambria Math" w:cs="Cambria Math"/>
          <w:szCs w:val="22"/>
        </w:rPr>
        <w:instrText>∼</w:instrText>
      </w:r>
      <w:r w:rsidRPr="0015120D">
        <w:rPr>
          <w:rFonts w:hAnsi="Calibri" w:cs="Calibri"/>
          <w:szCs w:val="22"/>
        </w:rPr>
        <w:instrText>30 years of daily rainfall-runoff data from catchments in the United States ranging in size from 4 to 2,000 km 2 with aridity index from 0.22 to 5.20, and including 12 of the 13 IGPB vegetated land cover classifications. This effectively \"ungauged\" model was benchmarked over a 15-year validation period against the Sacramento Soil Moisture Accounting (SAC-SMA) model and also against the NOAA National Water Model reanalysis. SAC-SMA was calibrated separately for each basin using 15 years of daily data. The out-of-sample LSTM had higher median Nash-Sutcliffe Efficiencies across the 531 basins (0.69) than either the calibrated SAC-SMA (0.64) or the National Water Model (0.58). This indicates that there is (typically) sufficient information in available catchment attributes data about similarities and differences between catchment-level rainfall-runoff behaviors to provide out-of-sample simulations that are generally more accurate than current models under ideal (i.e., calibrated) conditions. We found evidence that adding physical constraints to the LSTM models might improve simulations, which we suggest motivates future research related to physics-guided machine learning.","author":[{"dropping-particle":"","family":"Kratzert","given":"Frederik","non-dropping-particle":"","parse-names":false,"suffix":""},{"dropping-particle":"","family":"Klotz","given":"Daniel","non-dropping-particle":"","parse-names":false,"suffix":""},{"dropping-particle":"","family":"Herrnegger","given":"Mathew","non-dropping-particle":"","parse-names":false,"suffix":""},{"dropping-particle":"","family":"Sampson","given":"Alden K","non-dropping-particle":"","parse-names":false,"suffix":""},{"dropping-particle":"","family":"Hochreiter","given":"Sepp","non-dropping-particle":"","parse-names":false,"suffix":""},{"dropping-particle":"","family":"Nearing","given":"Grey S","non-dropping-particle":"","parse-names":false,"suffix":""}],"id":"ITEM-7","issued":{"date-parts":[["0"]]},"title":"Toward Improved Predictions in Ungauged Basins: Exploiting the Power of Machine Learning","type":"article-journal"},"uris":["http://www.mendeley.com/documents/?uuid=e6608f7d-4b48-3fbe-8954-1724e9f90dcd"]},{"id":"ITEM-8","itemData":{"DOI":"10.3390/w11010085","ISSN":"20734441","abstract":"The aim of this study was to develop hydrological models that can represent different geo-climatic system, namely: humid, semi-humid and semi-arid systems, in China. Humid and semi-humid areas suffer from frequent flood events, whereas semi-arid areas suffer from flash floods because of urbanization and climate change, which contribute to an increase in runoff. This study applied ε-Support Vector Machine (ε-SVM) and artificial neural network (ANN) for the simulation and forecasting streamflow of three different catchments. The Evolutionary Strategy (ES) optimization method was used to optimize the ANN and SVM sensitive parameters. The relative performance of the two models was compared, and the results indicate that both models performed well for humid and semi-humid systems, and SVM generally perform better than ANN in the streamflow simulation of all catchments.","author":[{"dropping-particle":"","family":"Bafitlhile","given":"Thabo Michael","non-dropping-particle":"","parse-names":false,"suffix":""},{"dropping-particle":"","family":"Li","given":"Zhijia","non-dropping-particle":"","parse-names":false,"suffix":""}],"container-title":"Water (Switzerland)","id":"ITEM-8","issue":"1","issued":{"date-parts":[["2019"]]},"title":"Applicability of ε-Support Vector Machine and artificial neural network for flood forecasting in humid, semi-humid and semi-arid basins in China","type":"article-journal","volume":"11"},"uris":["http://www.mendeley.com/documents/?uuid=f9b9623b-0c2a-4bfa-b750-85b1d02f9d4a"]},{"id":"ITEM-9","itemData":{"abstract":"The classification and recognition of agricultural crop types is an important application of remote sensing. New machine learning algorithms have emerged in the last years, but so far, few studies only have compared their performance and usability. Therefore, we compared three different state-of-the-art machine learning classifiers, namely Support Vector Machine (SVM), Artificial Neural Network (ANN) and Random Forest (RF) as well as the traditional classification method Maximum Likelihood (ML) among each other. For this purpose we classified a dataset of more than 500 crop fields located in the Canadian Prairies with a stratified randomized sampling approach. Up to four multi-spectral RapidEye images from the 2009 growing season were used. We compared the mean overall classification accuracies as well as standard deviations. Furthermore, the classification accuracy of single crops was analysed. Support Vector Machine classifiers using radial basis function or polynomial kernels exhibited superior results to ANN and RF in terms of overall accuracy and robustness, while ML exhibited inferior accuracies and higher variability. Grassland exhibited the best results for early-season mono-temporal analysis. With a multi-temporal approach, the highest accuracies were achieved for Rapeseed and Field Peas. Other crops, such as Wheat, Flax and Lentils were also successfully classified. The user’s and producer’s accuracies were higher than 85 %.","author":[{"dropping-particle":"","family":"Nitze","given":"I","non-dropping-particle":"","parse-names":false,"suffix":""},{"dropping-particle":"","family":"Schulthess","given":"U","non-dropping-particle":"","parse-names":false,"suffix":""},{"dropping-particle":"","family":"Asche","given":"H","non-dropping-particle":"","parse-names":false,"suffix":""}],"container-title":"Proceedings of the 4th Conference on GEographic Object-Based Image Analysis – GEOBIA 2012","id":"ITEM-9","issued":{"date-parts":[["2012"]]},"page":"35-40","title":"Comparison of machine learning algorithms random forest, artificial neuronal network and support vector machine to maximum likelihood for supervised crop type classification","type":"article-journal"},"uris":["http://www.mendeley.com/documents/?uuid=8159913a-e564-4265-b4b9-44f9745533eb"]},{"id":"ITEM-10","itemData":{"DOI":"10.3390/rs10020202","ISSN":"20724292","abstract":"The detection of water stress in vineyards plays an integral role in the sustainability of high-quality grapes and prevention of devastating crop loses. Hyperspectral remote sensing technologies combined with machine learning provides a practical means for modelling vineyard water stress. In this study, we applied two ensemble learners, i.e., random forest (RF) and extreme gradient boosting (XGBoost), for discriminating stressed and non-stressed Shiraz vines using terrestrial hyperspectral imaging. Additionally, we evaluated the utility of a spectral subset of wavebands, derived using RF mean decrease accuracy (MDA) and XGBoost gain. Our results show that both ensemble learners can effectively analyse the hyperspectral data. When using all wavebands (p = 176), RF produced a test accuracy of 83.3% (KHAT (kappa analysis) = 0.67), and XGBoost a test accuracy of 80.0% (KHAT = 0.6). Using the subset of wavebands (p = 18) produced slight increases in accuracy ranging from 1.7% to 5.5% for both RF and XGBoost. We further investigated the effect of smoothing the spectral data using the Savitzky-Golay filter. The results indicated that the Savitzky-Golay filter reduced model accuracies (ranging from 0.7% to 3.3%). The results demonstrate the feasibility of terrestrial hyperspectral imagery and machine learning to create a semi-automated framework for vineyard water stress modelling.","author":[{"dropping-particle":"","family":"Loggenberg","given":"Kyle","non-dropping-particle":"","parse-names":false,"suffix":""},{"dropping-particle":"","family":"Strever","given":"Albert","non-dropping-particle":"","parse-names":false,"suffix":""},{"dropping-particle":"","family":"Greyling","given":"Berno","non-dropping-particle":"","parse-names":false,"suffix":""},{"dropping-particle":"","family":"Poona","given":"Nitesh","non-dropping-particle":"","parse-names":false,"suffix":""}],"container-title":"Remote Sensing","id":"ITEM-10","issue":"2","issued":{"date-parts":[["2018"]]},"page":"1-14","title":"Modelling water stress in a Shiraz vineyard using hyperspectral imaging and machine learning","type":"article-journal","volume":"10"},"uris":["http://www.mendeley.com/documents/?uuid=6252b9a4-5ec6-4061-87a2-d7d4e00873a9"]},{"id":"ITEM-11","itemData":{"DOI":"10.3390/rs11141655","ISSN":"20724292","abstract":"Global navigation satellite system (GNSS)-reflectometry is a type of remote sensing technology and can be applied to soil moisture retrieval. Until now, various GNSS-R soil moisture retrieval methods have been reported. However, there still exist some problems due to the complexity of modeling and retrieval process, as well as the extreme uncertainty of the experimental environment and equipment. To investigate the behavior of bistatic GNSS-R soil moisture retrieval process, two ground-truth measurements with different soil conditions were carried out and the performance of the input variables was analyzed from the mathematical statistical aspect. Moreover, the feature of XGBoost method was utilized as well. As a recently developed ensemble machine learning method, the XGBoost method just emerged for the classification of remote sensing and geographic data, to investigate the characterization of the input variables in the GNSS-R soil moisture retrieval. It showed a good correlation with the statistical analysis of ground-truth measurements. The variable contributions for the input data can also be seen and evaluated. The study of the paper provides some experimental insights into the behavior of the GNSS-R soil moisture retrieval. It is worthwhile before establishing models and can also help with understanding the underlying GNSS-R phenomena and interpreting data.","author":[{"dropping-particle":"","family":"Jia","given":"Yan","non-dropping-particle":"","parse-names":false,"suffix":""},{"dropping-particle":"","family":"Jin","given":"Shuanggen","non-dropping-particle":"","parse-names":false,"suffix":""},{"dropping-particle":"","family":"Savi","given":"Patrizia","non-dropping-particle":"","parse-names":false,"suffix":""},{"dropping-particle":"","family":"Gao","given":"Yun","non-dropping-particle":"","parse-names":false,"suffix":""},{"dropping-particle":"","family":"Tang","given":"Jing","non-dropping-particle":"","parse-names":false,"suffix":""},{"dropping-particle":"","family":"Chen","given":"Yixiang","non-dropping-particle":"","parse-names":false,"suffix":""},{"dropping-particle":"","family":"Li","given":"Wenmei","non-dropping-particle":"","parse-names":false,"suffix":""}],"container-title":"Remote Sensing","id":"ITEM-11","issue":"14","issued":{"date-parts":[["2019"]]},"page":"1-25","title":"GNSS-R soil moisture retrieval based on a XGboost machine learning aided method: Performance and validation","type":"article-journal","volume":"11"},"uris":["http://www.mendeley.com/documents/?uuid=9aae8e20-7390-4c54-9b5a-289abe508c2b"]},{"id":"ITEM-12","itemData":{"DOI":"10.1109/ICoIAS49312.2020.9081858","ISBN":"9781728160788","abstract":"Daily activities has become leading problems in human physical analysis. Autonomous system as application in several area of human physical analysis was increase along with several machine learning methods. Fall detection, medical rehabilitation or other smart home application in physical analysis application has increase degree of life. Accelerometer and gyroscope was popular sensor for physical analysis. Several research was used these sensor with various position in human body part. Activities was separated in three class, static activity, transition activity, and dynamic activity. Basic activities has same pattern in each activity. From public HAR dataset, wich have three static activity (standing, sitting, and laying) each pattern has same shape and patterns. Dataset were used in this paper have acquire from 30 volunters. Seven basic machine learning alghoritm Logistic Regression, Support Vector Machine, Decission Tree, Random Forest, Gradien Boosted and K-Nearest Neighbor. The purposed method Logistic Regression achieves 98% accuracy same as SVM with linear kernel, with same result hyperparameter tuning for both method has same accuracy. Likewise for result where this main problems static activity was successful detected with logistic regression and SVM.","author":[{"dropping-particle":"","family":"Minarno","given":"Agus Eko","non-dropping-particle":"","parse-names":false,"suffix":""},{"dropping-particle":"","family":"Kusuma","given":"Wahyu Andhyka","non-dropping-particle":"","parse-names":false,"suffix":""},{"dropping-particle":"","family":"Wibowo","given":"Hardianto","non-dropping-particle":"","parse-names":false,"suffix":""}],"container-title":"2020 3rd International Conference on Intelligent Autonomous Systems, ICoIAS 2020","id":"ITEM-12","issued":{"date-parts":[["2020"]]},"title":"Performance Comparisson Activity Recognition using Logistic Regression and Support Vector Machine","type":"paper-conference"},"uris":["http://www.mendeley.com/documents/?uuid=5840fc66-550a-4ab9-97e5-8cd67149e176"]},{"id":"ITEM-13","itemData":{"DOI":"10.1590/18069657rbcs20170421","ISSN":"1806-9657","abstract":"Increasingly, applications of machine learning techniques for digital soil mapping (DSM) are being used for different soil mapping purposes. Considering the variety of models available, it is important to know their performance in relation to soil data and environmental variables involved in soil mapping. This paper investigated the performance of eight machine learning algorithms for soil mapping in a tropical mountainous area of an official rural settlement in the Zona da Mata region in Brazil. Morphometric maps generated from a digital elevation model, together with Landsat-8 satellite imagery, and climatic maps, were among the set of covariates to be selected by the Recursive Feature Elimination algorithm to predict soil types using machine learning algorithms. Mapping performance was assessed using the confusion matrix, and the Z-test among the Kappa indexes of the matrices. In a conventional soil survey, the soils described and classified in the Brazilian System of Soil Classification [Argissolos Vermelho-Amarelos Distróficos – PVAd (Acrisols), Cambissolos Háplicos Tb Distróficos - CXbd (Cambisols), Gleissolos Háplicos Háplicos Tb Distróficos - GXbd (Gleysols), Latossolos Amarelos Distróficos - LAd (Xanthic Ferralsos), Latossolos Vermelho-Amarelos Distróficos - LVAd (Rhodic Ferralsols), and Neossolos Litólicos Distróficos - RLd (Neossols)] were grouped into composite mapping units (MU) using the conventional method. The eight algorithms showed similar performance without statistical difference (Kappa 0.42-0.48). The mapping of soils with varying slopes (LAd, LVAd, CXbd) showed lower accuracy, whereas soils on hydromorphic lowlands (GXbd) were classified more accurately. In map algebra, the result was rather satisfactory, with 63-67 % agreement between the conventional soil map and maps produced by machine learning. The areas with the largest disagreement in the DSM occurred in the LAd unit due to subtle color variation in the Latossolos mantle without a clear relation to any environmental variable, highlighting difficulties in DSM regarding hill slope landforms. Model performance was satisfactory, and good agreement with the conventional soil map demonstrates the importance of the DSM as a potential complementary tool for assisting soil mapping in mountainous areas in Brazil for the purpose of land use planning.","author":[{"dropping-particle":"","family":"Meier","given":"Martin","non-dropping-particle":"","parse-names":false,"suffix":""},{"dropping-particle":"de","family":"Souza","given":"Eliana","non-dropping-particle":"","parse-names":false,"suffix":""},{"dropping-particle":"","family":"Francelino","given":"Marcio Rocha","non-dropping-particle":"","parse-names":false,"suffix":""},{"dropping-particle":"","family":"Fernandes Filho","given":"Elpídio Inácio","non-dropping-particle":"","parse-names":false,"suffix":""},{"dropping-particle":"","family":"Schaefer","given":"Carlos Ernesto Gonçalves Reynaud","non-dropping-particle":"","parse-names":false,"suffix":""}],"container-title":"Revista Brasileira de Ciência do Solo","id":"ITEM-13","issue":"0","issued":{"date-parts":[["2018"]]},"page":"1-22","title":"Digital Soil Mapping Using Machine Learning Algorithms in a Tropical Mountainous Area","type":"article-journal","volume":"42"},"uris":["http://www.mendeley.com/documents/?uuid=15122715-f3a5-479c-b80c-3980671b160f"]},{"id":"ITEM-14","itemData":{"DOI":"10.1080/15481603.2018.1426091","ISSN":"15481603","abstract":"Deep learning networks have shown great success in several computer vision applications, but its implementation in natural land cover mapping in the context of object-based image analysis (OBIA) is rarely explored area especially in terms of the impact of training sample size on the performance comparison. In this study, two representatives of deep learning networks including fully convolutional networks (FCN) and patch-based deep convolutional neural networks (DCNN), and two conventional classifiers including random forest and support vector machine were implemented within the framework of OBIA to classify seven natural land cover types. We assessed the deep learning classifiers using different training sample sizes and compared their performance with traditional classifiers. FCN was implemented using two types of training samples to investigate its ability to utilize object surrounding information. Our results indicate that DCNN may produce inferior performance compared to conventional classifiers when the training sample size is small, but it tends to show substantially higher accuracy than the conventional classifiers when the training sample size becomes large. The results also imply that FCN is more efficient in utilizing the information in the training sample than DCNN and conventional classifiers, with higher if not similar achieved accuracy regardless of sample size. DCNN and FCN tend to show similar performance for the large sample size when the training samples used for training the FCN do not contain object surrounding label information. However, with the ability of utilizing surrounding label information, FCN always achieved much higher accuracy than all the other classification methods regardless of the number of training samples.","author":[{"dropping-particle":"","family":"Liu","given":"Tao","non-dropping-particle":"","parse-names":false,"suffix":""},{"dropping-particle":"","family":"Abd-Elrahman","given":"Amr","non-dropping-particle":"","parse-names":false,"suffix":""},{"dropping-particle":"","family":"Morton","given":"Jon","non-dropping-particle":"","parse-names":false,"suffix":""},{"dropping-particle":"","family":"Wilhelm","given":"Victor L.","non-dropping-particle":"","parse-names":false,"suffix":""}],"container-title":"GIScience and Remote Sensing","id":"ITEM-14","issue":"2","issued":{"date-parts":[["2018"]]},"page":"243-264","publisher":"Taylor &amp; Francis","title":"Comparing fully convolutional networks, random forest, support vector machine, and patch-based deep convolutional neural networks for object-based wetland mapping using images from small unmanned aircraft system","type":"article-journal","volume":"55"},"uris":["http://www.mendeley.com/documents/?uuid=fdea4597-a548-4143-9d41-9c31051c3841"]},{"id":"ITEM-15","itemData":{"DOI":"10.1109/TPWRS.2004.835679","ISSN":"08858950","abstract":"Load forecasting is usually made by constructing models on relative information, such as climate and previous load demand data. In 2001, EUNITE network organized a competition aiming at mid-term load forecasting (predicting daily maximum load of the next 31 days). During the competition we proposed a support vector machine (SVM) model, which was the winning entry, to solve the problem. In this paper, we discuss in detail how SVM, a new learning technique, is successfully applied to load forecasting. In addition, motivated by the competition results and the approaches by other participants, more experiments and deeper analyses are conducted and presented here. Some important conclusions from the results are that temperature (or other types of climate information) might not be useful in such a mid-term load forecasting problem and that the introduction of time-series concept may improve the forecasting. © 2004 IEEE.","author":[{"dropping-particle":"","family":"Chen","given":"Bo Juen","non-dropping-particle":"","parse-names":false,"suffix":""},{"dropping-particle":"","family":"Chang","given":"Ming Wei","non-dropping-particle":"","parse-names":false,"suffix":""},{"dropping-particle":"","family":"Lin","given":"Chih Jen","non-dropping-particle":"","parse-names":false,"suffix":""}],"container-title":"IEEE Transactions on Power Systems","id":"ITEM-15","issued":{"date-parts":[["2004"]]},"title":"Load forecasting using support vector machines: A study on EUNITE Competition 2001","type":"article-journal"},"uris":["http://www.mendeley.com/documents/?uuid=0981b318-a538-4890-86f4-c86fc4b02459"]},{"id":"ITEM-16","itemData":{"DOI":"10.1016/j.isprsjprs.2018.07.017","ISSN":"09242716","abstract":"Mapping high resolution (30-m or better) cropland extent over very large areas such as continents or large countries or regions accurately, precisely, repeatedly, and rapidly is of great importance for addressing the global food and water security challenges. Such cropland extent products capture individual farm fields, small or large, and are crucial for developing accurate higher-level cropland products such as cropping intensities, crop types, crop watering methods (irrigated or rainfed), crop productivity, and crop water productivity. It also brings many challenges that include handling massively large data volumes, computing power, and collecting resource intensive reference training and validation data over complex geographic and political boundaries. Thereby, this study developed a precise and accurate Landsat 30-m derived cropland extent product for two very important, distinct, diverse, and large countries: Australia and China. The study used of eight bands (blue, green, red, NIR, SWIR1, SWIR2, TIR1, and NDVI) of Landsat-8 every 16-day Operational Land Imager (OLI) data for the years 2013–2015. The classification was performed by using a pixel-based supervised random forest (RF) machine learning algorithm (MLA) executed on the Google Earth Engine (GEE) cloud computing platform. Each band was time-composited over 4–6 time-periods over a year using median value for various agro-ecological zones (AEZs) of Australia and China. This resulted in a 32–48-layer mega-file data-cube (MFDC) for each of the AEZs. Reference training and validation data were gathered from: (a) field visits, (b) sub-meter to 5-m very high spatial resolution imagery (VHRI) data, and (c) ancillary sources such as from the National agriculture bureaus. Croplands versus non-croplands knowledge base for training the RF algorithm were derived from MFDC using 958 reference-training samples for Australia and 2130 reference-training samples for China. The resulting 30-m cropland extent product was assessed for accuracies using independent validation samples: 900 for Australia and 1972 for China. The 30-m cropland extent product of Australia showed an overall accuracy of 97.6% with a producer's accuracy of 98.8% (errors of omissions = 1.2%), and user's accuracy of 79% (errors of commissions = 21%) for the cropland class. For China, overall accuracies were 94% with a producer's accuracy of 80% (errors of omissions = 20%), and user's accuracy of 84.2% (errors of commissions = 15.8%) for …","author":[{"dropping-particle":"","family":"Teluguntla","given":"P.","non-dropping-particle":"","parse-names":false,"suffix":""},{"dropping-particle":"","family":"Thenkabail","given":"P.","non-dropping-particle":"","parse-names":false,"suffix":""},{"dropping-particle":"","family":"Oliphant","given":"Adam","non-dropping-particle":"","parse-names":false,"suffix":""},{"dropping-particle":"","family":"Xiong","given":"Jun","non-dropping-particle":"","parse-names":false,"suffix":""},{"dropping-particle":"","family":"Gumma","given":"Murali Krishna","non-dropping-particle":"","parse-names":false,"suffix":""},{"dropping-particle":"","family":"Congalton","given":"Russell G.","non-dropping-particle":"","parse-names":false,"suffix":""},{"dropping-particle":"","family":"Yadav","given":"Kamini","non-dropping-particle":"","parse-names":false,"suffix":""},{"dropping-particle":"","family":"Huete","given":"Alfredo","non-dropping-particle":"","parse-names":false,"suffix":""}],"container-title":"ISPRS Journal of Photogrammetry and Remote Sensing","id":"ITEM-16","issue":"July","issued":{"date-parts":[["2018"]]},"page":"325-340","publisher":"Elsevier","title":"A 30-m landsat-derived cropland extent product of Australia and China using random forest machine learning algorithm on Google Earth Engine cloud computing platform","type":"article-journal","volume":"144"},"uris":["http://www.mendeley.com/documents/?uuid=c1981db6-7bb1-46e2-bd34-f9b1fce924dc"]},{"id":"ITEM-17","itemData":{"DOI":"10.1109/TGRS.2010.2102041","ISSN":"01962892","abstract":"From its launch in 2006, the phased array L-band synthetic aperture radar (PALSAR) onboard the advanced land observing satellite (ALOS) has acquired many dual-polarized (FBD) images with a 70-km swath width, aiming to produce spatially consistent coverage over tropical rainforest. This paper investigates the relevancy of PALSAR orthorectified FBD product at 50-m resolution for regional land cover classification by the support vector machines (SVM). Our test site is the Riau province, Sumatra island, Indonesia, known to hold vast area of natural peatland forest with an extreme biodiversity threatened by industrial deforestation. Since it is demonstrated the radiometric information (HH and HV channels) cannot be solely used to achieve a good classification, the spatial information in these orthorectified data is investigated. A new tool using the recursive feature elimination SVM-based process and the textural Haralick's parameters is introduced. The real contribution of textures within the land cover classification can be understood. A small set of textural parameters is determined at local scale while being optimal for the land cover discrimination. The SVM-based classifier is carried out across the whole Riau province and its results are compared with a Landsat-based estimation. The agreement is over 70% with six classes and 86% for the natural forest map. These results are remarkable since only one PALSAR FBD product is used and this assessment is performed on more than 40 million pixels. The results confirm the high potential of the PALSAR sensor for forest monitoring at regional, if not global scale. © 2011 IEEE.","author":[{"dropping-particle":"","family":"Longépé","given":"Nicolas","non-dropping-particle":"","parse-names":false,"suffix":""},{"dropping-particle":"","family":"Rakwatin","given":"Preesan","non-dropping-particle":"","parse-names":false,"suffix":""},{"dropping-particle":"","family":"Isoguchi","given":"Osamu","non-dropping-particle":"","parse-names":false,"suffix":""},{"dropping-particle":"","family":"Shimada","given":"Masanobu","non-dropping-particle":"","parse-names":false,"suffix":""},{"dropping-particle":"","family":"Uryu","given":"Yumiko","non-dropping-particle":"","parse-names":false,"suffix":""},{"dropping-particle":"","family":"Yulianto","given":"Kokok","non-dropping-particle":"","parse-names":false,"suffix":""}],"container-title":"IEEE Transactions on Geoscience and Remote Sensing","id":"ITEM-17","issue":"6 PART 1","issued":{"date-parts":[["2011","6"]]},"page":"2135-2150","title":"Assessment of ALOS PALSAR 50 m orthorectified FBD data for regional land cover classification by support vector machines","type":"article-journal","volume":"49"},"uris":["http://www.mendeley.com/documents/?uuid=c9ad317a-266a-3532-a9fa-12d6162df34e"]},{"id":"ITEM-18","itemData":{"DOI":"10.1016/j.gsf.2016.06.002","abstract":"Climate change affects the environment and natural resources immensely. Rainfall, temperature and evapotranspiration are major parameters of climate affecting changes in the environment. Evapotranspiration plays a key role in crop production and water balance of a region, one of the major parameters affected by climate change. The reference evapotranspiration or ET0 is a calculated parameter used in this research. In the present study, changes in the future rainfall, minimum and maximum temperature, and ET0 have been shown by downscaling the HadCM3 (Hadley Centre Coupled Model version 3) model data. The selected study area is located in a part of the Narmada river basin area in Madhya Pradesh in central India. The downscaled outputs of projected rainfall, ET0 and temperatures have been shown for the 21st century with the HADCM3 data of A2 scenario by the Least Square Support Vector Machine (LS-SVM) model. The efficiency of the LS-SVM model was measured by different statistical methods. The selected predictors show considerable correlation with the rainfall and temperature and the application of this model has been done in a basin area which is an agriculture based region and is sensitive to the change of rainfall and temperature. Results showed an increase in the future rainfall, temperatures and ET0. The temperature increase is projected in the high rise of minimum temperature in winter time and the highest increase in maximum temperature is projected in the pre-monsoon season or from March to May. Highest increase is projected in the 2080s in 2081-2091 and 2091-2099 in maximum temperature and 2091-2099 in minimum temperature in all the stations. Winter maximum temperature has been observed to have increased in the future. High rainfall is also observed with higher ET0 in some decades. Two peaks of the increase are observed in ET0 in the April-May and in the October. Variation in these parameters due to climate change might have an impact on the future water resource of the study area, which is mainly an agricultural based region, and will help in proper planning and management.","author":[{"dropping-particle":"","family":"Kundu","given":"Sananda","non-dropping-particle":"","parse-names":false,"suffix":""},{"dropping-particle":"","family":"Khare","given":"Deepak","non-dropping-particle":"","parse-names":false,"suffix":""},{"dropping-particle":"","family":"Mondal","given":"Arun","non-dropping-particle":"","parse-names":false,"suffix":""}],"container-title":"Geoscience Frontiers","id":"ITEM-18","issue":"October","issued":{"date-parts":[["2016"]]},"title":"Future changes in rainfall, temperature and reference evapotranspiration in the central India by Least Square Support Vector Machine","type":"article-journal"},"uris":["http://www.mendeley.com/documents/?uuid=8b489291-f4df-3984-bb4a-f014443f0f9a"]},{"id":"ITEM-19","itemData":{"DOI":"10.1016/j.jhydrol.2006.04.030","ISSN":"00221694","abstract":"The Climate impact studies in hydrology often rely on climate change information at fine spatial resolution. However, general circulation models (GCMs), which are among the most advanced tools for estimating future climate change scenarios, operate on a coarse scale. Therefore the output from a GCM has to be downscaled to obtain the information relevant to hydrologic studies. In this paper, a support vector machine (SVM) approach is proposed for statistical downscaling of precipitation at monthly time scale. The effectiveness of this approach is illustrated through its application to meteorological sub-divisions (MSDs) in India. First, climate variables affecting spatio-temporal variation of precipitation at each MSD in India are identified. Following this, the data pertaining to the identified climate variables (predictors) at each MSD are classified using cluster analysis to form two groups, representing wet and dry seasons. For each MSD, SVM- based downscaling model (DM) is developed for season(s) with significant rainfall using principal components extracted from the predictors as input and the contemporaneous precipitation observed at the MSD as an output. The proposed DM is shown to be superior to conventional downscaling using multi-layer back-propagation artificial neural networks. Subsequently, the SVM-based DM is applied to future climate predictions from the second generation Coupled Global Climate Model (CGCM2) to obtain future projections of precipitation for the MSDs. The results are then analyzed to assess the impact of climate change on precipitation over India. It is shown that SVMs provide a promising alternative to conventional artificial neural networks for statistical downscaling, and are suitable for conducting climate impact studies. © 2006 Elsevier B.V. All rights reserved.","author":[{"dropping-particle":"","family":"Tripathi","given":"Shivam","non-dropping-particle":"","parse-names":false,"suffix":""},{"dropping-particle":"V.","family":"Srinivas","given":"V.","non-dropping-particle":"","parse-names":false,"suffix":""},{"dropping-particle":"","family":"Nanjundiah","given":"Ravi S.","non-dropping-particle":"","parse-names":false,"suffix":""}],"container-title":"Journal of Hydrology","id":"ITEM-19","issued":{"date-parts":[["2006"]]},"title":"Downscaling of precipitation for climate change scenarios: A support vector machine approach","type":"article-journal"},"uris":["http://www.mendeley.com/documents/?uuid=362c420f-40fe-4593-bb1f-e096eac24edd"]},{"id":"ITEM-20","itemData":{"DOI":"10.3390/rs12071135","ISSN":"20724292","abstract":"Rapid and uncontrolled population growth along with economic and industrial development, especially in developing countries during the late twentieth and early twenty-first centuries, have increased the rate of land-use/land-cover (LULC) change many times. Since quantitative assessment of changes in LULC is one of the most efficient means to understand and manage the land transformation, there is a need to examine the accuracy of different algorithms for LULC mapping in order to identify the best classifier for further applications of earth observations. In this article, six machine-learning algorithms, namely random forest (RF), support vector machine (SVM), artificial neural network (ANN), fuzzy adaptive resonance theory-supervised predictive mapping (Fuzzy ARTMAP), spectral angle mapper (SAM) and Mahalanobis distance (MD) were examined. Accuracy assessment was performed by using Kappa coefficient, receiver operational curve (RoC), index-based validation and root mean square error (RMSE). Results of Kappa coefficient show that all the classifiers have a similar accuracy level with minor variation, but the RF algorithm has the highest accuracy of 0.89 and the MD algorithm (parametric classifier) has the least accuracy of 0.82. In addition, the index-based LULC and visual cross-validation show that the RF algorithm (correlations between RF and normalised differentiation water index, normalised differentiation vegetation index and normalised differentiation built-up index are 0.96, 0.99 and 1, respectively, at 0.05 level of significance) has the highest accuracy level in comparison to the other classifiers adopted. Findings from the literature also proved that ANN and RF algorithms are the best LULC classifiers, although a non-parametric classifier like SAM (Kappa coefficient 0.84; area under curve (AUC) 0.85) has a better and consistent accuracy level than the other machine-learning algorithms. Finally, this review concludes that the RF algorithm is the best machine-learning LULC classifier, among the six examined algorithms although it is necessary to further test the RF algorithm in different morphoclimatic conditions in the future.","author":[{"dropping-particle":"","family":"Talukdar","given":"Swapan","non-dropping-particle":"","parse-names":false,"suffix":""},{"dropping-particle":"","family":"Singha","given":"Pankaj","non-dropping-particle":"","parse-names":false,"suffix":""},{"dropping-particle":"","family":"Mahato","given":"Susanta","non-dropping-particle":"","parse-names":false,"suffix":""},{"dropping-particle":"","family":"Shahfahad","given":"","non-dropping-particle":"","parse-names":false,"suffix":""},{"dropping-particle":"","family":"Pal","given":"Swades","non-dropping-particle":"","parse-names":false,"suffix":""},{"dropping-particle":"","family":"Liou","given":"Yuei An","non-dropping-particle":"","parse-names":false,"suffix":""},{"dropping-particle":"","family":"Rahman","given":"Atiqur","non-dropping-particle":"","parse-names":false,"suffix":""}],"container-title":"Remote Sensing","id":"ITEM-20","issue":"7","issued":{"date-parts":[["2020"]]},"title":"Land-use land-cover classification by machine learning classifiers for satellite observations-A review","type":"article-journal","volume":"12"},"uris":["http://www.mendeley.com/documents/?uuid=b7436f22-334e-4141-aa6b-cf123ace31a5"]},{"id":"ITEM-21","itemData":{"DOI":"10.1016/j.rse.2011.11.020","ISSN":"00344257","abstract":"Pixel-based and object-based image analysis approaches for classifying broad land cover classes over agricultural landscapes are compared using three supervised machine learning algorithms: decision tree (DT), random forest (RF), and the support vector machine (SVM). Overall classification accuracies between pixel-based and object-based classifications were not statistically significant (p &gt; 0.05) when the same machine learning algorithms were applied. Using object-based image analysis, there was a statistically significant difference in classification accuracy between maps produced using the DT algorithm compared to maps produced using either RF (p =0.0116) or SVM algorithms (p =0.0067). Using pixel-based image analysis, there was no statistically significant difference (p &gt; 0.05) between results produced using different classification algorithms. Classifications based on RF and SVM algorithms provided a more visually adequate depiction of wetland, riparian, and crop land cover types when compared to DT based classifications, using either object-based or pixel-based image analysis. In this study, pixel-based classifications utilized fewer variables (15 vs. 300), achieved similar classification accuracies, and required less time to produce than object-based classifications. Object-based classifications produced a visually appealing generalized appearance of land cover classes. Based exclusively on overall accuracy reports, there was no advantage to preferring one image analysis approach over another for the purposes of mapping broad land cover types in agricultural environments using medium spatial resolution earth observation imagery. © 2011 Elsevier Inc.","author":[{"dropping-particle":"","family":"Duro","given":"Dennis C.","non-dropping-particle":"","parse-names":false,"suffix":""},{"dropping-particle":"","family":"Franklin","given":"Steven E.","non-dropping-particle":"","parse-names":false,"suffix":""},{"dropping-particle":"","family":"Dubé","given":"Monique G.","non-dropping-particle":"","parse-names":false,"suffix":""}],"container-title":"Remote Sensing of Environment","id":"ITEM-21","issued":{"date-parts":[["2012"]]},"page":"259-272","publisher":"Elsevier Inc.","title":"A comparison of pixel-based and object-based image analysis with selected machine learning algorithms for the classification of agricultural landscapes using SPOT-5 HRG imagery","type":"article-journal","volume":"118"},"uris":["http://www.mendeley.com/documents/?uuid=18ee325a-39d4-4a8d-82d0-f0b62dc8bf63"]},{"id":"ITEM-22","itemData":{"DOI":"10.1109/TNN.2007.891656","ISSN":"10459227","PMID":"17526367","abstract":"Support vector machines (SVMs) usually need a large number of support vectors to form their output. Recently, several models have been proposed to build SVMs with a small number of basis functions, maintaining the property that their hidden-layer weights are a subset of the data (the support vectors). This property is also present in some algorithms for feedforward neural networks (FNNs) that construct the network sequentially, leading to sparse models where the number of hidden units can be explicitly controlled. An experimental study on several benchmark data sets, comparing SVMs and the aforementioned sequential FNNs, was carried out. The experiments were performed in the same conditions for all the models, and they can be seen as a comparison of SVMs and FNNs when both models are restricted to use similar hidden-layer weights. Accuracies were found to be very similar. Regarding the number of support vectors, sequential FNNs constructed models with less hidden units than standard SVMs and in the same range as \"sparse\" SVMs. Computational times were lower for SVMs. © 2007 IEEE.","author":[{"dropping-particle":"","family":"Romero","given":"Enrique","non-dropping-particle":"","parse-names":false,"suffix":""},{"dropping-particle":"","family":"Toppo","given":"Daniel","non-dropping-particle":"","parse-names":false,"suffix":""}],"container-title":"IEEE Transactions on Neural Networks","id":"ITEM-22","issue":"3","issued":{"date-parts":[["2007"]]},"page":"959-963","title":"Comparing support vector machines and feedforward neural networks with similar hidden-layer weights","type":"article-journal","volume":"18"},"uris":["http://www.mendeley.com/documents/?uuid=4e514d86-b614-4407-a4e8-5d0ba9ddb835"]},{"id":"ITEM-23","itemData":{"DOI":"10.1016/j.rse.2013.06.003","ISSN":"00344257","abstract":"The ability to carry out land cover change analyses based on Land Use/Cover Classification (LUCC) maps from remote sensing data depends on the quality of the mapping method. Land cover areas obtained from unadjusted classifiers with unbalanced misclassification between different classes could result in erroneously identifying trends. The aim of our work is to describe a novel approach to obtaining LUCC maps with balanced misclassification errors and therefore unbiased predicted areas for each class. We achieve this by numerically minimizing the differences between area proportions obtained with unbiased statistical reference estimates, which is measured by a quantity we refer to as the Sum of Squared Class Unbalancedness (SSCU). We assess the proposed methods in the context of land cover classification with support vector machine classifiers at four points in time between 1975 and 2010 in the Maipo river basin (Central Chile) based on Landsat imagery. In this study, the optimization reduced the SSCU (θ) by 94% on average compared to unadjusted classification. The classifier adjustment also slightly increased the accuracy of the resulting LUCC maps. The amount of bias in classified land cover area and the degree of unbalancedness of misclassification errors differed among the land cover classes. Agricultural land showed the largest reduction in mean relative differences from 27% to 2% compared to the unbiased statistical area estimates. The greatest increase in User's Accuracy was obtained for urban land cover in 1999, where an increase from 56% to 85% was achieved. Qualitative improvements in the classification were visible in difficult classification areas such as dry floodplains. The proposed method is especially recommended for studies that aim to provide multitemporal comparisons. © 2013 Elsevier Inc.","author":[{"dropping-particle":"","family":"Puertas","given":"Olga Lucia","non-dropping-particle":"","parse-names":false,"suffix":""},{"dropping-particle":"","family":"Brenning","given":"Alexander","non-dropping-particle":"","parse-names":false,"suffix":""},{"dropping-particle":"","family":"Meza","given":"Francisco Javier","non-dropping-particle":"","parse-names":false,"suffix":""}],"container-title":"Remote Sensing of Environment","id":"ITEM-23","issued":{"date-parts":[["2013"]]},"page":"112-123","publisher":"Elsevier Inc.","title":"Balancing misclassification errors of land cover classification maps using support vector machines and Landsat imagery in the Maipo river basin (Central Chile, 1975-2010)","type":"article-journal","volume":"137"},"uris":["http://www.mendeley.com/documents/?uuid=62cfc72f-e964-409a-85f8-bb920d5d5714"]}],"mendeley":{"formattedCitation":"(Bafitlhile and Li 2019; B. J. Chen et al. 2004; Duro et al. 2012; Fan et al. 2018; Jia et al. 2019; Kratzert et al. n.d.; Kundu et al. 2016; M. Li et al. 2013; Liu et al. 2018; Loggenberg et al. 2018; Longépé et al. 2011; Maxwell et al. 2016; Meier et al. 2018; Minarno et al. 2020; Nitze et al. 2012; Pal 2008; Pal and Mather 2005; Puertas et al. 2013; Romero and Toppo 2007; Talukdar et al. 2020; Telug</w:instrText>
      </w:r>
      <w:r w:rsidRPr="0015120D">
        <w:rPr>
          <w:rFonts w:hAnsi="Calibri" w:cs="Calibri"/>
          <w:szCs w:val="22"/>
          <w:lang w:val="it-IT"/>
        </w:rPr>
        <w:instrText>untla et al. 2018; Tripathi et al. 2006; Watanachaturaporn et al. 2008)","manualFormatting":"(e.g. Li et al. 2013; Puertas et al. 2013; Kundu et al. 2016; Maxwell et al. 2016; Fan et al. 2018; Liu et al. 2018; Loggenberg et al. 2018; Meier et al. 2018; Teluguntla et al. 2018; Bafitlhile and Li 2019; Jia et al. 2019; Minarno et al. 2020; Talukdar et al. 2020)","plainTextFormattedCitation":"(Bafitlhile and Li 2019; B. J. Chen et al. 2004; Duro et al. 2012; Fan et al. 2018; Jia et al. 2019; Kratzert et al. n.d.; Kundu et al. 2016; M. Li et al. 2013; Liu et al. 2018; Loggenberg et al. 2018; Longépé et al. 2011; Maxwell et al. 2016; Meier et al. 2018; Minarno et al. 2020; Nitze et al. 2012; Pal 2008; Pal and Mather 2005; Puertas et al. 2013; Romero and Toppo 2007; Talukdar et al. 2020; Teluguntla et al. 2018; Tripathi et al. 2006; Watanachaturaporn et al. 2008)","previouslyFormattedCitation":"(Bafitlhile and Li 2019; B. J. Chen et al. 2004; Duro et al. 2012; Fan et al. 2018; Jia et al. 2019; Kratzert et al. n.d.; Kundu et al. 2016; M. Li et al. 2013; Liu et al. 2018; Loggenberg et al. 2018; Longépé et al. 2011; Maxwell et al. 2016; Meier et al. 2018; Minarno et al. 2020; Nitze et al. 2012; Pal 2008; Pal and Mather 2005; Puertas et al. 2013; Romero and Toppo 2007; Talukdar et al. 2020; Teluguntla et al. 2018; Tripathi et al. 2006; Watanachaturaporn et al. 2008)"},"properties":{"noteIndex":0},"schema":"https://github.com/citation-style-language/schema/raw/master/csl-citation.json"}</w:instrText>
      </w:r>
      <w:r w:rsidRPr="0015120D">
        <w:rPr>
          <w:rFonts w:hAnsi="Calibri" w:cs="Calibri"/>
          <w:szCs w:val="22"/>
        </w:rPr>
        <w:fldChar w:fldCharType="separate"/>
      </w:r>
      <w:r w:rsidRPr="0015120D">
        <w:rPr>
          <w:rFonts w:hAnsi="Calibri" w:cs="Calibri"/>
          <w:noProof/>
          <w:szCs w:val="22"/>
          <w:lang w:val="it-IT"/>
        </w:rPr>
        <w:t>(e.g. Li et al. 2013; Puertas et al. 2013; Kundu et al. 2016; Maxwell et al. 2016; Fan et al. 2018; Liu et al. 2018; Loggenberg et al. 2018; Meier et al. 2018; Teluguntla et al. 2018; Bafitlhile and Li 2019; Jia et al. 2019; Minarno et al. 2020; Talukdar et al. 2020)</w:t>
      </w:r>
      <w:r w:rsidRPr="0015120D">
        <w:rPr>
          <w:rFonts w:hAnsi="Calibri" w:cs="Calibri"/>
          <w:szCs w:val="22"/>
        </w:rPr>
        <w:fldChar w:fldCharType="end"/>
      </w:r>
      <w:r w:rsidRPr="0015120D">
        <w:rPr>
          <w:rFonts w:hAnsi="Calibri" w:cs="Calibri"/>
          <w:szCs w:val="22"/>
          <w:lang w:val="it-IT"/>
        </w:rPr>
        <w:t xml:space="preserve">. </w:t>
      </w:r>
    </w:p>
    <w:p w14:paraId="4AE9C8BA" w14:textId="15814CFC" w:rsidR="00334D82" w:rsidRPr="0015120D" w:rsidRDefault="0015120D" w:rsidP="0015120D">
      <w:pPr>
        <w:spacing w:line="480" w:lineRule="auto"/>
        <w:jc w:val="both"/>
        <w:rPr>
          <w:rFonts w:hAnsi="Calibri" w:cs="Calibri"/>
          <w:b/>
          <w:bCs/>
          <w:szCs w:val="22"/>
        </w:rPr>
      </w:pPr>
      <w:r w:rsidRPr="0015120D">
        <w:rPr>
          <w:rFonts w:hAnsi="Calibri" w:cs="Calibri"/>
          <w:b/>
          <w:bCs/>
          <w:szCs w:val="22"/>
        </w:rPr>
        <w:t>3.1 SUPPORT VECTOR MECHANIC</w:t>
      </w:r>
      <w:r>
        <w:rPr>
          <w:rFonts w:hAnsi="Calibri" w:cs="Calibri"/>
          <w:b/>
          <w:bCs/>
          <w:szCs w:val="22"/>
        </w:rPr>
        <w:t>:</w:t>
      </w:r>
      <w:r w:rsidRPr="0015120D">
        <w:rPr>
          <w:rFonts w:hAnsi="Calibri" w:cs="Calibri"/>
          <w:b/>
          <w:bCs/>
          <w:szCs w:val="22"/>
        </w:rPr>
        <w:t xml:space="preserve"> </w:t>
      </w:r>
    </w:p>
    <w:p w14:paraId="05C67485"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The SVM algorithm developed by </w:t>
      </w:r>
      <w:r w:rsidRPr="0015120D">
        <w:rPr>
          <w:rFonts w:hAnsi="Calibri" w:cs="Calibri"/>
          <w:noProof/>
          <w:szCs w:val="22"/>
        </w:rPr>
        <w:fldChar w:fldCharType="begin" w:fldLock="1"/>
      </w:r>
      <w:r w:rsidRPr="0015120D">
        <w:rPr>
          <w:rFonts w:hAnsi="Calibri" w:cs="Calibri"/>
          <w:noProof/>
          <w:szCs w:val="22"/>
        </w:rPr>
        <w:instrText>ADDIN CSL_CITATION {"citationItems":[{"id":"ITEM-1","itemData":{"author":[{"dropping-particle":"","family":"Vapnik","given":"V","non-dropping-particle":"","parse-names":false,"suffix":""}],"id":"ITEM-1","issued":{"date-parts":[["2013"]]},"title":"The nature of statistical learning theory","type":"book"},"uris":["http://www.mendeley.com/documents/?uuid=12f3ce86-86f1-341c-bb01-376cb08095c8"]}],"mendeley":{"formattedCitation":"(Vapnik 2013)","manualFormatting":"Vapnik (2013)","plainTextFormattedCitation":"(Vapnik 2013)","previouslyFormattedCitation":"(Vapnik 2013)"},"properties":{"noteIndex":0},"schema":"https://github.com/citation-style-language/schema/raw/master/csl-citation.json"}</w:instrText>
      </w:r>
      <w:r w:rsidRPr="0015120D">
        <w:rPr>
          <w:rFonts w:hAnsi="Calibri" w:cs="Calibri"/>
          <w:noProof/>
          <w:szCs w:val="22"/>
        </w:rPr>
        <w:fldChar w:fldCharType="separate"/>
      </w:r>
      <w:r w:rsidRPr="0015120D">
        <w:rPr>
          <w:rFonts w:hAnsi="Calibri" w:cs="Calibri"/>
          <w:noProof/>
          <w:szCs w:val="22"/>
        </w:rPr>
        <w:t>Vapnik (2013)</w:t>
      </w:r>
      <w:r w:rsidRPr="0015120D">
        <w:rPr>
          <w:rFonts w:hAnsi="Calibri" w:cs="Calibri"/>
          <w:noProof/>
          <w:szCs w:val="22"/>
        </w:rPr>
        <w:fldChar w:fldCharType="end"/>
      </w:r>
      <w:r w:rsidRPr="0015120D">
        <w:rPr>
          <w:rFonts w:hAnsi="Calibri" w:cs="Calibri"/>
          <w:szCs w:val="22"/>
        </w:rPr>
        <w:t>, commonly used for predicting regression, is a supervised ML model for data investigation and shape recognition. The SVM model approximates a regression based on numerous kernel functions that allow for an implicit conversion to higher-dimensional space of the initial, smaller-sized data. Due to its convex nature, the SVM provides a unique solution compared with the Artificial Network model with several local minima. The SVM algorithm approximates the function as follows:</w:t>
      </w:r>
    </w:p>
    <w:tbl>
      <w:tblPr>
        <w:tblW w:w="0" w:type="auto"/>
        <w:tblLook w:val="04A0" w:firstRow="1" w:lastRow="0" w:firstColumn="1" w:lastColumn="0" w:noHBand="0" w:noVBand="1"/>
      </w:tblPr>
      <w:tblGrid>
        <w:gridCol w:w="4508"/>
        <w:gridCol w:w="4508"/>
      </w:tblGrid>
      <w:tr w:rsidR="00334D82" w:rsidRPr="0015120D" w14:paraId="6DB60E5B" w14:textId="77777777" w:rsidTr="00B342EA">
        <w:tc>
          <w:tcPr>
            <w:tcW w:w="4508" w:type="dxa"/>
          </w:tcPr>
          <w:p w14:paraId="2970C9D7" w14:textId="77777777" w:rsidR="00334D82" w:rsidRPr="0015120D" w:rsidRDefault="00334D82" w:rsidP="0015120D">
            <w:pPr>
              <w:spacing w:after="0" w:line="480" w:lineRule="auto"/>
              <w:jc w:val="both"/>
              <w:rPr>
                <w:rFonts w:hAnsi="Calibri" w:cs="Calibri"/>
                <w:szCs w:val="22"/>
              </w:rPr>
            </w:pPr>
            <m:oMathPara>
              <m:oMathParaPr>
                <m:jc m:val="left"/>
              </m:oMathParaPr>
              <m:oMath>
                <m:r>
                  <w:rPr>
                    <w:rFonts w:ascii="Cambria Math" w:hAnsi="Cambria Math" w:cs="Calibri"/>
                    <w:szCs w:val="22"/>
                  </w:rPr>
                  <m:t>f(x)=ωφ(x)+d</m:t>
                </m:r>
              </m:oMath>
            </m:oMathPara>
          </w:p>
        </w:tc>
        <w:tc>
          <w:tcPr>
            <w:tcW w:w="4508" w:type="dxa"/>
          </w:tcPr>
          <w:p w14:paraId="66FC076F"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(1)</w:t>
            </w:r>
          </w:p>
        </w:tc>
      </w:tr>
    </w:tbl>
    <w:p w14:paraId="7C519B83"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Where, </w:t>
      </w:r>
      <m:oMath>
        <m:r>
          <w:rPr>
            <w:rFonts w:ascii="Cambria Math" w:hAnsi="Cambria Math" w:cs="Calibri"/>
            <w:szCs w:val="22"/>
          </w:rPr>
          <m:t>φ(x)</m:t>
        </m:r>
      </m:oMath>
      <w:r w:rsidRPr="0015120D">
        <w:rPr>
          <w:rFonts w:hAnsi="Calibri" w:cs="Calibri"/>
          <w:szCs w:val="22"/>
        </w:rPr>
        <w:t xml:space="preserve"> is a feature of the higher - dimension transformed from the input vectors. Where x. ω and </w:t>
      </w:r>
      <w:proofErr w:type="spellStart"/>
      <w:r w:rsidRPr="0015120D">
        <w:rPr>
          <w:rFonts w:hAnsi="Calibri" w:cs="Calibri"/>
          <w:szCs w:val="22"/>
        </w:rPr>
        <w:t>d are</w:t>
      </w:r>
      <w:proofErr w:type="spellEnd"/>
      <w:r w:rsidRPr="0015120D">
        <w:rPr>
          <w:rFonts w:hAnsi="Calibri" w:cs="Calibri"/>
          <w:szCs w:val="22"/>
        </w:rPr>
        <w:t xml:space="preserve"> the weights of the vector and limit. This can be calculated as the following risk function:</w:t>
      </w:r>
    </w:p>
    <w:tbl>
      <w:tblPr>
        <w:tblW w:w="0" w:type="auto"/>
        <w:tblLook w:val="04A0" w:firstRow="1" w:lastRow="0" w:firstColumn="1" w:lastColumn="0" w:noHBand="0" w:noVBand="1"/>
      </w:tblPr>
      <w:tblGrid>
        <w:gridCol w:w="4508"/>
        <w:gridCol w:w="4508"/>
      </w:tblGrid>
      <w:tr w:rsidR="00334D82" w:rsidRPr="0015120D" w14:paraId="3FE79034" w14:textId="77777777" w:rsidTr="00B342EA">
        <w:tc>
          <w:tcPr>
            <w:tcW w:w="4508" w:type="dxa"/>
          </w:tcPr>
          <w:p w14:paraId="61C7E481" w14:textId="77777777" w:rsidR="00334D82" w:rsidRPr="0015120D" w:rsidRDefault="00334D82" w:rsidP="0015120D">
            <w:pPr>
              <w:spacing w:after="0" w:line="480" w:lineRule="auto"/>
              <w:rPr>
                <w:rFonts w:hAnsi="Calibri" w:cs="Calibri"/>
                <w:szCs w:val="22"/>
              </w:rPr>
            </w:pPr>
            <m:oMathPara>
              <m:oMath>
                <m:r>
                  <w:rPr>
                    <w:rFonts w:ascii="Cambria Math" w:hAnsi="Cambria Math" w:cs="Calibri"/>
                    <w:szCs w:val="22"/>
                  </w:rPr>
                  <m:t>R</m:t>
                </m:r>
                <m:d>
                  <m:dPr>
                    <m:ctrlPr>
                      <w:rPr>
                        <w:rFonts w:ascii="Cambria Math" w:hAnsi="Cambria Math" w:cs="Calibri"/>
                        <w:i/>
                        <w:szCs w:val="22"/>
                      </w:rPr>
                    </m:ctrlPr>
                  </m:dPr>
                  <m:e>
                    <m:r>
                      <w:rPr>
                        <w:rFonts w:ascii="Cambria Math" w:hAnsi="Cambria Math" w:cs="Calibri"/>
                        <w:szCs w:val="22"/>
                      </w:rPr>
                      <m:t>E</m:t>
                    </m:r>
                  </m:e>
                </m:d>
                <m:r>
                  <w:rPr>
                    <w:rFonts w:ascii="Cambria Math" w:hAnsi="Cambria Math" w:cs="Calibri"/>
                    <w:szCs w:val="22"/>
                  </w:rPr>
                  <m:t>=E</m:t>
                </m:r>
                <m:f>
                  <m:fPr>
                    <m:ctrlPr>
                      <w:rPr>
                        <w:rFonts w:ascii="Cambria Math" w:hAnsi="Cambria Math" w:cs="Calibri"/>
                        <w:szCs w:val="22"/>
                      </w:rPr>
                    </m:ctrlPr>
                  </m:fPr>
                  <m:num>
                    <m:r>
                      <w:rPr>
                        <w:rFonts w:ascii="Cambria Math" w:hAnsi="Cambria Math" w:cs="Calibri"/>
                        <w:szCs w:val="22"/>
                      </w:rPr>
                      <m:t>1</m:t>
                    </m:r>
                    <m:ctrlPr>
                      <w:rPr>
                        <w:rFonts w:ascii="Cambria Math" w:hAnsi="Cambria Math" w:cs="Calibri"/>
                        <w:i/>
                        <w:szCs w:val="22"/>
                      </w:rPr>
                    </m:ctrlPr>
                  </m:num>
                  <m:den>
                    <m:r>
                      <w:rPr>
                        <w:rFonts w:ascii="Cambria Math" w:hAnsi="Cambria Math" w:cs="Calibri"/>
                        <w:szCs w:val="22"/>
                      </w:rPr>
                      <m:t>n</m:t>
                    </m:r>
                    <m:ctrlPr>
                      <w:rPr>
                        <w:rFonts w:ascii="Cambria Math" w:hAnsi="Cambria Math" w:cs="Calibri"/>
                        <w:i/>
                        <w:szCs w:val="22"/>
                      </w:rPr>
                    </m:ctrlPr>
                  </m:den>
                </m:f>
                <m:nary>
                  <m:naryPr>
                    <m:chr m:val="∑"/>
                    <m:ctrlPr>
                      <w:rPr>
                        <w:rFonts w:ascii="Cambria Math" w:hAnsi="Cambria Math" w:cs="Calibri"/>
                        <w:szCs w:val="22"/>
                      </w:rPr>
                    </m:ctrlPr>
                  </m:naryPr>
                  <m:sub>
                    <m:r>
                      <w:rPr>
                        <w:rFonts w:ascii="Cambria Math" w:hAnsi="Cambria Math" w:cs="Calibri"/>
                        <w:szCs w:val="22"/>
                      </w:rPr>
                      <m:t>i=1</m:t>
                    </m:r>
                    <m:ctrlPr>
                      <w:rPr>
                        <w:rFonts w:ascii="Cambria Math" w:hAnsi="Cambria Math" w:cs="Calibri"/>
                        <w:i/>
                        <w:szCs w:val="22"/>
                      </w:rPr>
                    </m:ctrlPr>
                  </m:sub>
                  <m:sup>
                    <m:r>
                      <w:rPr>
                        <w:rFonts w:ascii="Cambria Math" w:hAnsi="Cambria Math" w:cs="Calibri"/>
                        <w:szCs w:val="22"/>
                      </w:rPr>
                      <m:t>n</m:t>
                    </m:r>
                    <m:ctrlPr>
                      <w:rPr>
                        <w:rFonts w:ascii="Cambria Math" w:hAnsi="Cambria Math" w:cs="Calibri"/>
                        <w:i/>
                        <w:szCs w:val="22"/>
                      </w:rPr>
                    </m:ctrlPr>
                  </m:sup>
                  <m:e>
                    <m:r>
                      <w:rPr>
                        <w:rFonts w:ascii="Cambria Math" w:hAnsi="Cambria Math" w:cs="Calibri"/>
                        <w:szCs w:val="22"/>
                      </w:rPr>
                      <m:t>L</m:t>
                    </m:r>
                    <m:d>
                      <m:dPr>
                        <m:ctrlPr>
                          <w:rPr>
                            <w:rFonts w:ascii="Cambria Math" w:hAnsi="Cambria Math" w:cs="Calibri"/>
                            <w:szCs w:val="22"/>
                          </w:rPr>
                        </m:ctrlPr>
                      </m:dPr>
                      <m:e>
                        <m:sSub>
                          <m:sSubPr>
                            <m:ctrlPr>
                              <w:rPr>
                                <w:rFonts w:ascii="Cambria Math" w:hAnsi="Cambria Math" w:cs="Calibri"/>
                                <w:i/>
                                <w:szCs w:val="22"/>
                              </w:rPr>
                            </m:ctrlPr>
                          </m:sSubPr>
                          <m:e>
                            <m:r>
                              <w:rPr>
                                <w:rFonts w:ascii="Cambria Math" w:hAnsi="Cambria Math" w:cs="Calibri"/>
                                <w:szCs w:val="22"/>
                              </w:rPr>
                              <m:t>p</m:t>
                            </m:r>
                            <m:ctrlPr>
                              <w:rPr>
                                <w:rFonts w:ascii="Cambria Math" w:hAnsi="Cambria Math" w:cs="Calibri"/>
                                <w:szCs w:val="22"/>
                              </w:rPr>
                            </m:ctrlPr>
                          </m:e>
                          <m:sub>
                            <m:r>
                              <w:rPr>
                                <w:rFonts w:ascii="Cambria Math" w:hAnsi="Cambria Math" w:cs="Calibri"/>
                                <w:szCs w:val="22"/>
                              </w:rPr>
                              <m:t>i</m:t>
                            </m:r>
                          </m:sub>
                        </m:sSub>
                        <m:r>
                          <w:rPr>
                            <w:rFonts w:ascii="Cambria Math" w:hAnsi="Cambria Math" w:cs="Calibri"/>
                            <w:szCs w:val="22"/>
                          </w:rPr>
                          <m:t>,</m:t>
                        </m:r>
                        <m:sSub>
                          <m:sSubPr>
                            <m:ctrlPr>
                              <w:rPr>
                                <w:rFonts w:ascii="Cambria Math" w:hAnsi="Cambria Math" w:cs="Calibri"/>
                                <w:i/>
                                <w:szCs w:val="22"/>
                              </w:rPr>
                            </m:ctrlPr>
                          </m:sSubPr>
                          <m:e>
                            <m:r>
                              <w:rPr>
                                <w:rFonts w:ascii="Cambria Math" w:hAnsi="Cambria Math" w:cs="Calibri"/>
                                <w:szCs w:val="22"/>
                              </w:rPr>
                              <m:t>y</m:t>
                            </m:r>
                          </m:e>
                          <m:sub>
                            <m:r>
                              <w:rPr>
                                <w:rFonts w:ascii="Cambria Math" w:hAnsi="Cambria Math" w:cs="Calibri"/>
                                <w:szCs w:val="22"/>
                              </w:rPr>
                              <m:t>i</m:t>
                            </m:r>
                          </m:sub>
                        </m:sSub>
                        <m:ctrlPr>
                          <w:rPr>
                            <w:rFonts w:ascii="Cambria Math" w:hAnsi="Cambria Math" w:cs="Calibri"/>
                            <w:i/>
                            <w:szCs w:val="22"/>
                          </w:rPr>
                        </m:ctrlPr>
                      </m:e>
                    </m:d>
                    <m:ctrlPr>
                      <w:rPr>
                        <w:rFonts w:ascii="Cambria Math" w:hAnsi="Cambria Math" w:cs="Calibri"/>
                        <w:i/>
                        <w:szCs w:val="22"/>
                      </w:rPr>
                    </m:ctrlPr>
                  </m:e>
                </m:nary>
                <m:r>
                  <w:rPr>
                    <w:rFonts w:ascii="Cambria Math" w:hAnsi="Cambria Math" w:cs="Calibri"/>
                    <w:szCs w:val="22"/>
                  </w:rPr>
                  <m:t>+</m:t>
                </m:r>
                <m:f>
                  <m:fPr>
                    <m:ctrlPr>
                      <w:rPr>
                        <w:rFonts w:ascii="Cambria Math" w:hAnsi="Cambria Math" w:cs="Calibri"/>
                        <w:szCs w:val="22"/>
                      </w:rPr>
                    </m:ctrlPr>
                  </m:fPr>
                  <m:num>
                    <m:r>
                      <w:rPr>
                        <w:rFonts w:ascii="Cambria Math" w:hAnsi="Cambria Math" w:cs="Calibri"/>
                        <w:szCs w:val="22"/>
                      </w:rPr>
                      <m:t>1</m:t>
                    </m:r>
                    <m:ctrlPr>
                      <w:rPr>
                        <w:rFonts w:ascii="Cambria Math" w:hAnsi="Cambria Math" w:cs="Calibri"/>
                        <w:i/>
                        <w:szCs w:val="22"/>
                      </w:rPr>
                    </m:ctrlPr>
                  </m:num>
                  <m:den>
                    <m:r>
                      <w:rPr>
                        <w:rFonts w:ascii="Cambria Math" w:hAnsi="Cambria Math" w:cs="Calibri"/>
                        <w:szCs w:val="22"/>
                      </w:rPr>
                      <m:t>2</m:t>
                    </m:r>
                    <m:ctrlPr>
                      <w:rPr>
                        <w:rFonts w:ascii="Cambria Math" w:hAnsi="Cambria Math" w:cs="Calibri"/>
                        <w:i/>
                        <w:szCs w:val="22"/>
                      </w:rPr>
                    </m:ctrlPr>
                  </m:den>
                </m:f>
                <m:r>
                  <m:rPr>
                    <m:lit/>
                  </m:rPr>
                  <w:rPr>
                    <w:rFonts w:ascii="Cambria Math" w:hAnsi="Cambria Math" w:cs="Calibri"/>
                    <w:szCs w:val="22"/>
                  </w:rPr>
                  <m:t>|</m:t>
                </m:r>
                <m:r>
                  <m:rPr>
                    <m:sty m:val="p"/>
                  </m:rPr>
                  <w:rPr>
                    <w:rFonts w:ascii="Cambria Math" w:hAnsi="Cambria Math" w:cs="Calibri"/>
                    <w:szCs w:val="22"/>
                  </w:rPr>
                  <m:t>ω</m:t>
                </m:r>
                <m:sSup>
                  <m:sSupPr>
                    <m:ctrlPr>
                      <w:rPr>
                        <w:rFonts w:ascii="Cambria Math" w:hAnsi="Cambria Math" w:cs="Calibri"/>
                        <w:i/>
                        <w:szCs w:val="22"/>
                      </w:rPr>
                    </m:ctrlPr>
                  </m:sSupPr>
                  <m:e>
                    <m:r>
                      <m:rPr>
                        <m:lit/>
                      </m:rPr>
                      <w:rPr>
                        <w:rFonts w:ascii="Cambria Math" w:hAnsi="Cambria Math" w:cs="Calibri"/>
                        <w:szCs w:val="22"/>
                      </w:rPr>
                      <m:t>|</m:t>
                    </m:r>
                  </m:e>
                  <m:sup>
                    <m:r>
                      <w:rPr>
                        <w:rFonts w:ascii="Cambria Math" w:hAnsi="Cambria Math" w:cs="Calibri"/>
                        <w:szCs w:val="22"/>
                      </w:rPr>
                      <m:t>2</m:t>
                    </m:r>
                  </m:sup>
                </m:sSup>
              </m:oMath>
            </m:oMathPara>
          </w:p>
        </w:tc>
        <w:tc>
          <w:tcPr>
            <w:tcW w:w="4508" w:type="dxa"/>
          </w:tcPr>
          <w:p w14:paraId="4C9602B4" w14:textId="77777777" w:rsidR="00334D82" w:rsidRPr="0015120D" w:rsidRDefault="00334D82" w:rsidP="0015120D">
            <w:pPr>
              <w:spacing w:after="0" w:line="480" w:lineRule="auto"/>
              <w:jc w:val="both"/>
              <w:rPr>
                <w:rFonts w:hAnsi="Calibri" w:cs="Calibri"/>
                <w:szCs w:val="22"/>
              </w:rPr>
            </w:pPr>
          </w:p>
          <w:p w14:paraId="31F28510"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(2)</w:t>
            </w:r>
          </w:p>
        </w:tc>
      </w:tr>
    </w:tbl>
    <w:p w14:paraId="3193E91E"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Where E is the consequence constraint of the error, the desired value is </w:t>
      </w:r>
      <m:oMath>
        <m:sSub>
          <m:sSubPr>
            <m:ctrlPr>
              <w:rPr>
                <w:rFonts w:ascii="Cambria Math" w:hAnsi="Cambria Math" w:cs="Calibri"/>
                <w:i/>
                <w:szCs w:val="22"/>
              </w:rPr>
            </m:ctrlPr>
          </m:sSubPr>
          <m:e>
            <m:r>
              <w:rPr>
                <w:rFonts w:ascii="Cambria Math" w:hAnsi="Cambria Math" w:cs="Calibri"/>
                <w:szCs w:val="22"/>
              </w:rPr>
              <m:t>p</m:t>
            </m:r>
            <m:ctrlPr>
              <w:rPr>
                <w:rFonts w:ascii="Cambria Math" w:hAnsi="Cambria Math" w:cs="Calibri"/>
                <w:szCs w:val="22"/>
              </w:rPr>
            </m:ctrlPr>
          </m:e>
          <m:sub>
            <m:r>
              <w:rPr>
                <w:rFonts w:ascii="Cambria Math" w:hAnsi="Cambria Math" w:cs="Calibri"/>
                <w:szCs w:val="22"/>
              </w:rPr>
              <m:t>i</m:t>
            </m:r>
          </m:sub>
        </m:sSub>
      </m:oMath>
      <w:r w:rsidRPr="0015120D">
        <w:rPr>
          <w:rFonts w:hAnsi="Calibri" w:cs="Calibri"/>
          <w:szCs w:val="22"/>
        </w:rPr>
        <w:t xml:space="preserve">, observation numbers are n, and </w:t>
      </w:r>
      <m:oMath>
        <m:sSubSup>
          <m:sSubSupPr>
            <m:ctrlPr>
              <w:rPr>
                <w:rFonts w:ascii="Cambria Math" w:hAnsi="Cambria Math" w:cs="Calibri"/>
                <w:i/>
                <w:szCs w:val="22"/>
              </w:rPr>
            </m:ctrlPr>
          </m:sSubSupPr>
          <m:e>
            <m:r>
              <w:rPr>
                <w:rFonts w:ascii="Cambria Math" w:hAnsi="Cambria Math" w:cs="Calibri"/>
                <w:szCs w:val="22"/>
              </w:rPr>
              <m:t>C</m:t>
            </m:r>
          </m:e>
          <m:sub>
            <m:r>
              <w:rPr>
                <w:rFonts w:ascii="Cambria Math" w:hAnsi="Cambria Math" w:cs="Calibri"/>
                <w:szCs w:val="22"/>
              </w:rPr>
              <m:t>n</m:t>
            </m:r>
          </m:sub>
          <m:sup>
            <m:r>
              <w:rPr>
                <w:rFonts w:ascii="Cambria Math" w:hAnsi="Cambria Math" w:cs="Calibri"/>
                <w:szCs w:val="22"/>
              </w:rPr>
              <m:t>1</m:t>
            </m:r>
          </m:sup>
        </m:sSubSup>
        <m:nary>
          <m:naryPr>
            <m:chr m:val="∑"/>
            <m:ctrlPr>
              <w:rPr>
                <w:rFonts w:ascii="Cambria Math" w:hAnsi="Cambria Math" w:cs="Calibri"/>
                <w:szCs w:val="22"/>
              </w:rPr>
            </m:ctrlPr>
          </m:naryPr>
          <m:sub>
            <m:r>
              <w:rPr>
                <w:rFonts w:ascii="Cambria Math" w:hAnsi="Cambria Math" w:cs="Calibri"/>
                <w:szCs w:val="22"/>
              </w:rPr>
              <m:t>i=1</m:t>
            </m:r>
            <m:ctrlPr>
              <w:rPr>
                <w:rFonts w:ascii="Cambria Math" w:hAnsi="Cambria Math" w:cs="Calibri"/>
                <w:i/>
                <w:szCs w:val="22"/>
              </w:rPr>
            </m:ctrlPr>
          </m:sub>
          <m:sup>
            <m:r>
              <w:rPr>
                <w:rFonts w:ascii="Cambria Math" w:hAnsi="Cambria Math" w:cs="Calibri"/>
                <w:szCs w:val="22"/>
              </w:rPr>
              <m:t>n</m:t>
            </m:r>
            <m:ctrlPr>
              <w:rPr>
                <w:rFonts w:ascii="Cambria Math" w:hAnsi="Cambria Math" w:cs="Calibri"/>
                <w:i/>
                <w:szCs w:val="22"/>
              </w:rPr>
            </m:ctrlPr>
          </m:sup>
          <m:e>
            <m:r>
              <w:rPr>
                <w:rFonts w:ascii="Cambria Math" w:hAnsi="Cambria Math" w:cs="Calibri"/>
                <w:szCs w:val="22"/>
              </w:rPr>
              <m:t>L</m:t>
            </m:r>
            <m:d>
              <m:dPr>
                <m:ctrlPr>
                  <w:rPr>
                    <w:rFonts w:ascii="Cambria Math" w:hAnsi="Cambria Math" w:cs="Calibri"/>
                    <w:szCs w:val="22"/>
                  </w:rPr>
                </m:ctrlPr>
              </m:dPr>
              <m:e>
                <m:sSub>
                  <m:sSubPr>
                    <m:ctrlPr>
                      <w:rPr>
                        <w:rFonts w:ascii="Cambria Math" w:hAnsi="Cambria Math" w:cs="Calibri"/>
                        <w:i/>
                        <w:szCs w:val="22"/>
                      </w:rPr>
                    </m:ctrlPr>
                  </m:sSubPr>
                  <m:e>
                    <m:r>
                      <w:rPr>
                        <w:rFonts w:ascii="Cambria Math" w:hAnsi="Cambria Math" w:cs="Calibri"/>
                        <w:szCs w:val="22"/>
                      </w:rPr>
                      <m:t>d</m:t>
                    </m:r>
                    <m:ctrlPr>
                      <w:rPr>
                        <w:rFonts w:ascii="Cambria Math" w:hAnsi="Cambria Math" w:cs="Calibri"/>
                        <w:szCs w:val="22"/>
                      </w:rPr>
                    </m:ctrlPr>
                  </m:e>
                  <m:sub>
                    <m:r>
                      <w:rPr>
                        <w:rFonts w:ascii="Cambria Math" w:hAnsi="Cambria Math" w:cs="Calibri"/>
                        <w:szCs w:val="22"/>
                      </w:rPr>
                      <m:t>i</m:t>
                    </m:r>
                  </m:sub>
                </m:sSub>
                <m:sSub>
                  <m:sSubPr>
                    <m:ctrlPr>
                      <w:rPr>
                        <w:rFonts w:ascii="Cambria Math" w:hAnsi="Cambria Math" w:cs="Calibri"/>
                        <w:i/>
                        <w:szCs w:val="22"/>
                      </w:rPr>
                    </m:ctrlPr>
                  </m:sSubPr>
                  <m:e>
                    <m:r>
                      <w:rPr>
                        <w:rFonts w:ascii="Cambria Math" w:hAnsi="Cambria Math" w:cs="Calibri"/>
                        <w:szCs w:val="22"/>
                      </w:rPr>
                      <m:t>y</m:t>
                    </m:r>
                  </m:e>
                  <m:sub>
                    <m:r>
                      <w:rPr>
                        <w:rFonts w:ascii="Cambria Math" w:hAnsi="Cambria Math" w:cs="Calibri"/>
                        <w:szCs w:val="22"/>
                      </w:rPr>
                      <m:t>i</m:t>
                    </m:r>
                  </m:sub>
                </m:sSub>
                <m:ctrlPr>
                  <w:rPr>
                    <w:rFonts w:ascii="Cambria Math" w:hAnsi="Cambria Math" w:cs="Calibri"/>
                    <w:i/>
                    <w:szCs w:val="22"/>
                  </w:rPr>
                </m:ctrlPr>
              </m:e>
            </m:d>
            <m:r>
              <w:rPr>
                <w:rFonts w:ascii="Cambria Math" w:hAnsi="Cambria Math" w:cs="Calibri"/>
                <w:szCs w:val="22"/>
              </w:rPr>
              <m:t xml:space="preserve"> </m:t>
            </m:r>
            <m:ctrlPr>
              <w:rPr>
                <w:rFonts w:ascii="Cambria Math" w:hAnsi="Cambria Math" w:cs="Calibri"/>
                <w:i/>
                <w:szCs w:val="22"/>
              </w:rPr>
            </m:ctrlPr>
          </m:e>
        </m:nary>
      </m:oMath>
      <w:r w:rsidRPr="0015120D">
        <w:rPr>
          <w:rFonts w:hAnsi="Calibri" w:cs="Calibri"/>
          <w:szCs w:val="22"/>
        </w:rPr>
        <w:t xml:space="preserve">is the error of empirical, in that the function </w:t>
      </w:r>
      <m:oMath>
        <m:sSub>
          <m:sSubPr>
            <m:ctrlPr>
              <w:rPr>
                <w:rFonts w:ascii="Cambria Math" w:hAnsi="Cambria Math" w:cs="Calibri"/>
                <w:i/>
                <w:iCs/>
                <w:szCs w:val="22"/>
              </w:rPr>
            </m:ctrlPr>
          </m:sSubPr>
          <m:e>
            <m:r>
              <m:rPr>
                <m:sty m:val="p"/>
              </m:rPr>
              <w:rPr>
                <w:rFonts w:ascii="Cambria Math" w:hAnsi="Cambria Math" w:cs="Calibri"/>
                <w:szCs w:val="22"/>
              </w:rPr>
              <m:t>M</m:t>
            </m:r>
            <m:ctrlPr>
              <w:rPr>
                <w:rFonts w:ascii="Cambria Math" w:hAnsi="Cambria Math" w:cs="Calibri"/>
                <w:iCs/>
                <w:szCs w:val="22"/>
              </w:rPr>
            </m:ctrlPr>
          </m:e>
          <m:sub>
            <m:r>
              <m:rPr>
                <m:sty m:val="p"/>
              </m:rPr>
              <w:rPr>
                <w:rFonts w:ascii="Cambria Math" w:hAnsi="Cambria Math" w:cs="Calibri"/>
                <w:szCs w:val="22"/>
              </w:rPr>
              <m:t>ε</m:t>
            </m:r>
          </m:sub>
        </m:sSub>
      </m:oMath>
      <w:r w:rsidRPr="0015120D">
        <w:rPr>
          <w:rFonts w:hAnsi="Calibri" w:cs="Calibri"/>
          <w:szCs w:val="22"/>
        </w:rPr>
        <w:t xml:space="preserve"> to be determined as Eq. (3)</w:t>
      </w:r>
    </w:p>
    <w:tbl>
      <w:tblPr>
        <w:tblW w:w="0" w:type="auto"/>
        <w:tblLook w:val="04A0" w:firstRow="1" w:lastRow="0" w:firstColumn="1" w:lastColumn="0" w:noHBand="0" w:noVBand="1"/>
      </w:tblPr>
      <w:tblGrid>
        <w:gridCol w:w="6115"/>
        <w:gridCol w:w="2901"/>
      </w:tblGrid>
      <w:tr w:rsidR="00334D82" w:rsidRPr="0015120D" w14:paraId="602F8BD2" w14:textId="77777777" w:rsidTr="00B342EA">
        <w:tc>
          <w:tcPr>
            <w:tcW w:w="6115" w:type="dxa"/>
          </w:tcPr>
          <w:p w14:paraId="1262EFA7" w14:textId="77777777" w:rsidR="00334D82" w:rsidRPr="0015120D" w:rsidRDefault="00000000" w:rsidP="0015120D">
            <w:pPr>
              <w:spacing w:after="0" w:line="480" w:lineRule="auto"/>
              <w:rPr>
                <w:rFonts w:hAnsi="Calibri" w:cs="Calibri"/>
                <w:iCs/>
                <w:szCs w:val="22"/>
              </w:rPr>
            </w:pPr>
            <m:oMath>
              <m:sSub>
                <m:sSubPr>
                  <m:ctrlPr>
                    <w:rPr>
                      <w:rFonts w:ascii="Cambria Math" w:hAnsi="Cambria Math" w:cs="Calibri"/>
                      <w:i/>
                      <w:iCs/>
                      <w:szCs w:val="22"/>
                    </w:rPr>
                  </m:ctrlPr>
                </m:sSubPr>
                <m:e>
                  <m:r>
                    <m:rPr>
                      <m:sty m:val="p"/>
                    </m:rPr>
                    <w:rPr>
                      <w:rFonts w:ascii="Cambria Math" w:hAnsi="Cambria Math" w:cs="Calibri"/>
                      <w:szCs w:val="22"/>
                    </w:rPr>
                    <m:t>M</m:t>
                  </m:r>
                  <m:ctrlPr>
                    <w:rPr>
                      <w:rFonts w:ascii="Cambria Math" w:hAnsi="Cambria Math" w:cs="Calibri"/>
                      <w:iCs/>
                      <w:szCs w:val="22"/>
                    </w:rPr>
                  </m:ctrlPr>
                </m:e>
                <m:sub>
                  <m:r>
                    <m:rPr>
                      <m:sty m:val="p"/>
                    </m:rPr>
                    <w:rPr>
                      <w:rFonts w:ascii="Cambria Math" w:hAnsi="Cambria Math" w:cs="Calibri"/>
                      <w:szCs w:val="22"/>
                    </w:rPr>
                    <m:t>ε</m:t>
                  </m:r>
                </m:sub>
              </m:sSub>
              <m:d>
                <m:dPr>
                  <m:ctrlPr>
                    <w:rPr>
                      <w:rFonts w:ascii="Cambria Math" w:hAnsi="Cambria Math" w:cs="Calibri"/>
                      <w:i/>
                      <w:iCs/>
                      <w:szCs w:val="22"/>
                    </w:rPr>
                  </m:ctrlPr>
                </m:dPr>
                <m:e>
                  <m:r>
                    <w:rPr>
                      <w:rFonts w:ascii="Cambria Math" w:hAnsi="Cambria Math" w:cs="Calibri"/>
                      <w:szCs w:val="22"/>
                    </w:rPr>
                    <m:t>p, </m:t>
                  </m:r>
                  <m:r>
                    <m:rPr>
                      <m:sty m:val="p"/>
                    </m:rPr>
                    <w:rPr>
                      <w:rFonts w:ascii="Cambria Math" w:hAnsi="Cambria Math" w:cs="Calibri"/>
                      <w:szCs w:val="22"/>
                    </w:rPr>
                    <m:t>y</m:t>
                  </m:r>
                </m:e>
              </m:d>
              <m:r>
                <w:rPr>
                  <w:rFonts w:ascii="Cambria Math" w:hAnsi="Cambria Math" w:cs="Calibri"/>
                  <w:szCs w:val="22"/>
                </w:rPr>
                <m:t>=</m:t>
              </m:r>
              <m:d>
                <m:dPr>
                  <m:begChr m:val="|"/>
                  <m:endChr m:val="|"/>
                  <m:ctrlPr>
                    <w:rPr>
                      <w:rFonts w:ascii="Cambria Math" w:hAnsi="Cambria Math" w:cs="Calibri"/>
                      <w:i/>
                      <w:iCs/>
                      <w:szCs w:val="22"/>
                    </w:rPr>
                  </m:ctrlPr>
                </m:dPr>
                <m:e>
                  <m:r>
                    <w:rPr>
                      <w:rFonts w:ascii="Cambria Math" w:hAnsi="Cambria Math" w:cs="Calibri"/>
                      <w:szCs w:val="22"/>
                    </w:rPr>
                    <m:t>p-</m:t>
                  </m:r>
                  <m:r>
                    <m:rPr>
                      <m:sty m:val="p"/>
                    </m:rPr>
                    <w:rPr>
                      <w:rFonts w:ascii="Cambria Math" w:hAnsi="Cambria Math" w:cs="Calibri"/>
                      <w:szCs w:val="22"/>
                    </w:rPr>
                    <m:t>y</m:t>
                  </m:r>
                </m:e>
              </m:d>
              <m:r>
                <w:rPr>
                  <w:rFonts w:ascii="Cambria Math" w:hAnsi="Cambria Math" w:cs="Calibri"/>
                  <w:szCs w:val="22"/>
                </w:rPr>
                <m:t>-</m:t>
              </m:r>
              <m:r>
                <m:rPr>
                  <m:sty m:val="p"/>
                </m:rPr>
                <w:rPr>
                  <w:rFonts w:ascii="Cambria Math" w:hAnsi="Cambria Math" w:cs="Calibri"/>
                  <w:szCs w:val="22"/>
                </w:rPr>
                <m:t>ε</m:t>
              </m:r>
              <m:d>
                <m:dPr>
                  <m:begChr m:val="|"/>
                  <m:endChr m:val="|"/>
                  <m:ctrlPr>
                    <w:rPr>
                      <w:rFonts w:ascii="Cambria Math" w:hAnsi="Cambria Math" w:cs="Calibri"/>
                      <w:i/>
                      <w:iCs/>
                      <w:szCs w:val="22"/>
                    </w:rPr>
                  </m:ctrlPr>
                </m:dPr>
                <m:e>
                  <m:r>
                    <w:rPr>
                      <w:rFonts w:ascii="Cambria Math" w:hAnsi="Cambria Math" w:cs="Calibri"/>
                      <w:szCs w:val="22"/>
                    </w:rPr>
                    <m:t>p-</m:t>
                  </m:r>
                  <m:r>
                    <m:rPr>
                      <m:sty m:val="p"/>
                    </m:rPr>
                    <w:rPr>
                      <w:rFonts w:ascii="Cambria Math" w:hAnsi="Cambria Math" w:cs="Calibri"/>
                      <w:szCs w:val="22"/>
                    </w:rPr>
                    <m:t>y</m:t>
                  </m:r>
                </m:e>
              </m:d>
              <m:r>
                <w:rPr>
                  <w:rFonts w:ascii="Cambria Math" w:hAnsi="Cambria Math" w:cs="Calibri"/>
                  <w:szCs w:val="22"/>
                </w:rPr>
                <m:t>≥ε </m:t>
              </m:r>
            </m:oMath>
            <w:r w:rsidR="00334D82" w:rsidRPr="0015120D">
              <w:rPr>
                <w:rFonts w:hAnsi="Calibri" w:cs="Calibri"/>
                <w:iCs/>
                <w:szCs w:val="22"/>
              </w:rPr>
              <w:t>or 0 otherwise</w:t>
            </w:r>
          </w:p>
        </w:tc>
        <w:tc>
          <w:tcPr>
            <w:tcW w:w="2901" w:type="dxa"/>
          </w:tcPr>
          <w:p w14:paraId="7890A5A4"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(3)</w:t>
            </w:r>
          </w:p>
        </w:tc>
      </w:tr>
    </w:tbl>
    <w:p w14:paraId="1B13F240" w14:textId="77777777" w:rsidR="00334D82" w:rsidRPr="0015120D" w:rsidRDefault="00334D82" w:rsidP="0015120D">
      <w:pPr>
        <w:spacing w:line="480" w:lineRule="auto"/>
        <w:jc w:val="both"/>
        <w:rPr>
          <w:rFonts w:hAnsi="Calibri" w:cs="Calibri"/>
          <w:szCs w:val="22"/>
        </w:rPr>
      </w:pPr>
      <w:r w:rsidRPr="0015120D">
        <w:rPr>
          <w:rFonts w:hAnsi="Calibri" w:cs="Calibri"/>
          <w:szCs w:val="22"/>
        </w:rPr>
        <w:lastRenderedPageBreak/>
        <w:t xml:space="preserve">Where regularisation term is  </w:t>
      </w:r>
      <m:oMath>
        <m:f>
          <m:fPr>
            <m:ctrlPr>
              <w:rPr>
                <w:rFonts w:ascii="Cambria Math" w:hAnsi="Cambria Math" w:cs="Calibri"/>
                <w:szCs w:val="22"/>
              </w:rPr>
            </m:ctrlPr>
          </m:fPr>
          <m:num>
            <m:r>
              <w:rPr>
                <w:rFonts w:ascii="Cambria Math" w:hAnsi="Cambria Math" w:cs="Calibri"/>
                <w:szCs w:val="22"/>
              </w:rPr>
              <m:t>1</m:t>
            </m:r>
            <m:ctrlPr>
              <w:rPr>
                <w:rFonts w:ascii="Cambria Math" w:hAnsi="Cambria Math" w:cs="Calibri"/>
                <w:i/>
                <w:szCs w:val="22"/>
              </w:rPr>
            </m:ctrlPr>
          </m:num>
          <m:den>
            <m:r>
              <w:rPr>
                <w:rFonts w:ascii="Cambria Math" w:hAnsi="Cambria Math" w:cs="Calibri"/>
                <w:szCs w:val="22"/>
              </w:rPr>
              <m:t>2</m:t>
            </m:r>
            <m:ctrlPr>
              <w:rPr>
                <w:rFonts w:ascii="Cambria Math" w:hAnsi="Cambria Math" w:cs="Calibri"/>
                <w:i/>
                <w:szCs w:val="22"/>
              </w:rPr>
            </m:ctrlPr>
          </m:den>
        </m:f>
        <m:r>
          <m:rPr>
            <m:lit/>
          </m:rPr>
          <w:rPr>
            <w:rFonts w:ascii="Cambria Math" w:hAnsi="Cambria Math" w:cs="Calibri"/>
            <w:szCs w:val="22"/>
          </w:rPr>
          <m:t>|</m:t>
        </m:r>
        <m:r>
          <m:rPr>
            <m:sty m:val="p"/>
          </m:rPr>
          <w:rPr>
            <w:rFonts w:ascii="Cambria Math" w:hAnsi="Cambria Math" w:cs="Calibri"/>
            <w:szCs w:val="22"/>
          </w:rPr>
          <m:t>ω</m:t>
        </m:r>
        <m:sSup>
          <m:sSupPr>
            <m:ctrlPr>
              <w:rPr>
                <w:rFonts w:ascii="Cambria Math" w:hAnsi="Cambria Math" w:cs="Calibri"/>
                <w:i/>
                <w:szCs w:val="22"/>
              </w:rPr>
            </m:ctrlPr>
          </m:sSupPr>
          <m:e>
            <m:r>
              <m:rPr>
                <m:lit/>
              </m:rPr>
              <w:rPr>
                <w:rFonts w:ascii="Cambria Math" w:hAnsi="Cambria Math" w:cs="Calibri"/>
                <w:szCs w:val="22"/>
              </w:rPr>
              <m:t>|</m:t>
            </m:r>
          </m:e>
          <m:sup>
            <m:r>
              <w:rPr>
                <w:rFonts w:ascii="Cambria Math" w:hAnsi="Cambria Math" w:cs="Calibri"/>
                <w:szCs w:val="22"/>
              </w:rPr>
              <m:t>2</m:t>
            </m:r>
          </m:sup>
        </m:sSup>
      </m:oMath>
      <w:r w:rsidRPr="0015120D">
        <w:rPr>
          <w:rFonts w:hAnsi="Calibri" w:cs="Calibri"/>
          <w:szCs w:val="22"/>
        </w:rPr>
        <w:t>, and conduit size is ɛ. Finally, the approximated function in Eq. (1) is expressed explicitly by adding Lagrange multipliers and leveraging the constraints of optimality:</w:t>
      </w:r>
    </w:p>
    <w:tbl>
      <w:tblPr>
        <w:tblW w:w="0" w:type="auto"/>
        <w:tblLook w:val="04A0" w:firstRow="1" w:lastRow="0" w:firstColumn="1" w:lastColumn="0" w:noHBand="0" w:noVBand="1"/>
      </w:tblPr>
      <w:tblGrid>
        <w:gridCol w:w="4508"/>
        <w:gridCol w:w="4508"/>
      </w:tblGrid>
      <w:tr w:rsidR="00334D82" w:rsidRPr="0015120D" w14:paraId="72FA2ABC" w14:textId="77777777" w:rsidTr="00B342EA">
        <w:trPr>
          <w:trHeight w:val="980"/>
        </w:trPr>
        <w:tc>
          <w:tcPr>
            <w:tcW w:w="4508" w:type="dxa"/>
          </w:tcPr>
          <w:p w14:paraId="6741377F" w14:textId="77777777" w:rsidR="00334D82" w:rsidRPr="0015120D" w:rsidRDefault="00334D82" w:rsidP="0015120D">
            <w:pPr>
              <w:spacing w:after="0" w:line="480" w:lineRule="auto"/>
              <w:jc w:val="both"/>
              <w:rPr>
                <w:rFonts w:hAnsi="Calibri" w:cs="Calibri"/>
                <w:szCs w:val="22"/>
              </w:rPr>
            </w:pPr>
            <m:oMathPara>
              <m:oMathParaPr>
                <m:jc m:val="left"/>
              </m:oMathParaPr>
              <m:oMath>
                <m:r>
                  <w:rPr>
                    <w:rFonts w:ascii="Cambria Math" w:hAnsi="Cambria Math" w:cs="Calibri"/>
                    <w:szCs w:val="22"/>
                  </w:rPr>
                  <m:t>f</m:t>
                </m:r>
                <m:d>
                  <m:dPr>
                    <m:ctrlPr>
                      <w:rPr>
                        <w:rFonts w:ascii="Cambria Math" w:hAnsi="Cambria Math" w:cs="Calibri"/>
                        <w:szCs w:val="22"/>
                      </w:rPr>
                    </m:ctrlPr>
                  </m:dPr>
                  <m:e>
                    <m:r>
                      <w:rPr>
                        <w:rFonts w:ascii="Cambria Math" w:hAnsi="Cambria Math" w:cs="Calibri"/>
                        <w:szCs w:val="22"/>
                      </w:rPr>
                      <m:t>x,</m:t>
                    </m:r>
                    <m:sSub>
                      <m:sSubPr>
                        <m:ctrlPr>
                          <w:rPr>
                            <w:rFonts w:ascii="Cambria Math" w:hAnsi="Cambria Math" w:cs="Calibri"/>
                            <w:i/>
                            <w:szCs w:val="22"/>
                          </w:rPr>
                        </m:ctrlPr>
                      </m:sSubPr>
                      <m:e>
                        <m:r>
                          <m:rPr>
                            <m:sty m:val="p"/>
                          </m:rPr>
                          <w:rPr>
                            <w:rFonts w:ascii="Cambria Math" w:hAnsi="Cambria Math" w:cs="Calibri"/>
                            <w:szCs w:val="22"/>
                          </w:rPr>
                          <m:t>m</m:t>
                        </m:r>
                      </m:e>
                      <m:sub>
                        <m:r>
                          <w:rPr>
                            <w:rFonts w:ascii="Cambria Math" w:hAnsi="Cambria Math" w:cs="Calibri"/>
                            <w:szCs w:val="22"/>
                          </w:rPr>
                          <m:t>i</m:t>
                        </m:r>
                      </m:sub>
                    </m:sSub>
                    <m:r>
                      <w:rPr>
                        <w:rFonts w:ascii="Cambria Math" w:hAnsi="Cambria Math" w:cs="Calibri"/>
                        <w:szCs w:val="22"/>
                      </w:rPr>
                      <m:t>,</m:t>
                    </m:r>
                    <m:sSubSup>
                      <m:sSubSupPr>
                        <m:ctrlPr>
                          <w:rPr>
                            <w:rFonts w:ascii="Cambria Math" w:hAnsi="Cambria Math" w:cs="Calibri"/>
                            <w:i/>
                            <w:szCs w:val="22"/>
                          </w:rPr>
                        </m:ctrlPr>
                      </m:sSubSupPr>
                      <m:e>
                        <m:r>
                          <m:rPr>
                            <m:sty m:val="p"/>
                          </m:rPr>
                          <w:rPr>
                            <w:rFonts w:ascii="Cambria Math" w:hAnsi="Cambria Math" w:cs="Calibri"/>
                            <w:szCs w:val="22"/>
                          </w:rPr>
                          <m:t>m</m:t>
                        </m:r>
                      </m:e>
                      <m:sub>
                        <m:r>
                          <w:rPr>
                            <w:rFonts w:ascii="Cambria Math" w:hAnsi="Cambria Math" w:cs="Calibri"/>
                            <w:szCs w:val="22"/>
                          </w:rPr>
                          <m:t>i</m:t>
                        </m:r>
                      </m:sub>
                      <m:sup>
                        <m:r>
                          <w:rPr>
                            <w:rFonts w:ascii="Cambria Math" w:hAnsi="Cambria Math" w:cs="Calibri"/>
                            <w:szCs w:val="22"/>
                          </w:rPr>
                          <m:t>*</m:t>
                        </m:r>
                      </m:sup>
                    </m:sSubSup>
                    <m:ctrlPr>
                      <w:rPr>
                        <w:rFonts w:ascii="Cambria Math" w:hAnsi="Cambria Math" w:cs="Calibri"/>
                        <w:i/>
                        <w:szCs w:val="22"/>
                      </w:rPr>
                    </m:ctrlPr>
                  </m:e>
                </m:d>
                <m:r>
                  <w:rPr>
                    <w:rFonts w:ascii="Cambria Math" w:hAnsi="Cambria Math" w:cs="Calibri"/>
                    <w:szCs w:val="22"/>
                  </w:rPr>
                  <m:t>=</m:t>
                </m:r>
                <m:nary>
                  <m:naryPr>
                    <m:chr m:val="∑"/>
                    <m:ctrlPr>
                      <w:rPr>
                        <w:rFonts w:ascii="Cambria Math" w:hAnsi="Cambria Math" w:cs="Calibri"/>
                        <w:szCs w:val="22"/>
                      </w:rPr>
                    </m:ctrlPr>
                  </m:naryPr>
                  <m:sub>
                    <m:r>
                      <w:rPr>
                        <w:rFonts w:ascii="Cambria Math" w:hAnsi="Cambria Math" w:cs="Calibri"/>
                        <w:szCs w:val="22"/>
                      </w:rPr>
                      <m:t>i=1</m:t>
                    </m:r>
                    <m:ctrlPr>
                      <w:rPr>
                        <w:rFonts w:ascii="Cambria Math" w:hAnsi="Cambria Math" w:cs="Calibri"/>
                        <w:i/>
                        <w:szCs w:val="22"/>
                      </w:rPr>
                    </m:ctrlPr>
                  </m:sub>
                  <m:sup>
                    <m:r>
                      <w:rPr>
                        <w:rFonts w:ascii="Cambria Math" w:hAnsi="Cambria Math" w:cs="Calibri"/>
                        <w:szCs w:val="22"/>
                      </w:rPr>
                      <m:t>n</m:t>
                    </m:r>
                    <m:ctrlPr>
                      <w:rPr>
                        <w:rFonts w:ascii="Cambria Math" w:hAnsi="Cambria Math" w:cs="Calibri"/>
                        <w:i/>
                        <w:szCs w:val="22"/>
                      </w:rPr>
                    </m:ctrlPr>
                  </m:sup>
                  <m:e>
                    <m:d>
                      <m:dPr>
                        <m:ctrlPr>
                          <w:rPr>
                            <w:rFonts w:ascii="Cambria Math" w:hAnsi="Cambria Math" w:cs="Calibri"/>
                            <w:i/>
                            <w:szCs w:val="22"/>
                          </w:rPr>
                        </m:ctrlPr>
                      </m:dPr>
                      <m:e>
                        <m:sSub>
                          <m:sSubPr>
                            <m:ctrlPr>
                              <w:rPr>
                                <w:rFonts w:ascii="Cambria Math" w:hAnsi="Cambria Math" w:cs="Calibri"/>
                                <w:i/>
                                <w:szCs w:val="22"/>
                              </w:rPr>
                            </m:ctrlPr>
                          </m:sSubPr>
                          <m:e>
                            <m:r>
                              <m:rPr>
                                <m:sty m:val="p"/>
                              </m:rPr>
                              <w:rPr>
                                <w:rFonts w:ascii="Cambria Math" w:hAnsi="Cambria Math" w:cs="Calibri"/>
                                <w:szCs w:val="22"/>
                              </w:rPr>
                              <m:t>α</m:t>
                            </m:r>
                          </m:e>
                          <m:sub>
                            <m:r>
                              <w:rPr>
                                <w:rFonts w:ascii="Cambria Math" w:hAnsi="Cambria Math" w:cs="Calibri"/>
                                <w:szCs w:val="22"/>
                              </w:rPr>
                              <m:t>i</m:t>
                            </m:r>
                          </m:sub>
                        </m:sSub>
                        <m:r>
                          <w:rPr>
                            <w:rFonts w:ascii="Cambria Math" w:hAnsi="Cambria Math" w:cs="Calibri"/>
                            <w:szCs w:val="22"/>
                          </w:rPr>
                          <m:t>-</m:t>
                        </m:r>
                        <m:sSubSup>
                          <m:sSubSupPr>
                            <m:ctrlPr>
                              <w:rPr>
                                <w:rFonts w:ascii="Cambria Math" w:hAnsi="Cambria Math" w:cs="Calibri"/>
                                <w:i/>
                                <w:szCs w:val="22"/>
                              </w:rPr>
                            </m:ctrlPr>
                          </m:sSubSupPr>
                          <m:e>
                            <m:r>
                              <m:rPr>
                                <m:sty m:val="p"/>
                              </m:rPr>
                              <w:rPr>
                                <w:rFonts w:ascii="Cambria Math" w:hAnsi="Cambria Math" w:cs="Calibri"/>
                                <w:szCs w:val="22"/>
                              </w:rPr>
                              <m:t>α</m:t>
                            </m:r>
                          </m:e>
                          <m:sub>
                            <m:r>
                              <w:rPr>
                                <w:rFonts w:ascii="Cambria Math" w:hAnsi="Cambria Math" w:cs="Calibri"/>
                                <w:szCs w:val="22"/>
                              </w:rPr>
                              <m:t>i</m:t>
                            </m:r>
                          </m:sub>
                          <m:sup>
                            <m:r>
                              <w:rPr>
                                <w:rFonts w:ascii="Cambria Math" w:hAnsi="Cambria Math" w:cs="Calibri"/>
                                <w:szCs w:val="22"/>
                              </w:rPr>
                              <m:t>*</m:t>
                            </m:r>
                          </m:sup>
                        </m:sSubSup>
                      </m:e>
                    </m:d>
                    <m:r>
                      <w:rPr>
                        <w:rFonts w:ascii="Cambria Math" w:hAnsi="Cambria Math" w:cs="Calibri"/>
                        <w:szCs w:val="22"/>
                      </w:rPr>
                      <m:t>K</m:t>
                    </m:r>
                    <m:d>
                      <m:dPr>
                        <m:ctrlPr>
                          <w:rPr>
                            <w:rFonts w:ascii="Cambria Math" w:hAnsi="Cambria Math" w:cs="Calibri"/>
                            <w:szCs w:val="22"/>
                          </w:rPr>
                        </m:ctrlPr>
                      </m:dPr>
                      <m:e>
                        <m:r>
                          <w:rPr>
                            <w:rFonts w:ascii="Cambria Math" w:hAnsi="Cambria Math" w:cs="Calibri"/>
                            <w:szCs w:val="22"/>
                          </w:rPr>
                          <m:t>x,</m:t>
                        </m:r>
                        <m:sSub>
                          <m:sSubPr>
                            <m:ctrlPr>
                              <w:rPr>
                                <w:rFonts w:ascii="Cambria Math" w:hAnsi="Cambria Math" w:cs="Calibri"/>
                                <w:i/>
                                <w:szCs w:val="22"/>
                              </w:rPr>
                            </m:ctrlPr>
                          </m:sSubPr>
                          <m:e>
                            <m:r>
                              <w:rPr>
                                <w:rFonts w:ascii="Cambria Math" w:hAnsi="Cambria Math" w:cs="Calibri"/>
                                <w:szCs w:val="22"/>
                              </w:rPr>
                              <m:t>x</m:t>
                            </m:r>
                          </m:e>
                          <m:sub>
                            <m:r>
                              <w:rPr>
                                <w:rFonts w:ascii="Cambria Math" w:hAnsi="Cambria Math" w:cs="Calibri"/>
                                <w:szCs w:val="22"/>
                              </w:rPr>
                              <m:t>i</m:t>
                            </m:r>
                          </m:sub>
                        </m:sSub>
                        <m:ctrlPr>
                          <w:rPr>
                            <w:rFonts w:ascii="Cambria Math" w:hAnsi="Cambria Math" w:cs="Calibri"/>
                            <w:i/>
                            <w:szCs w:val="22"/>
                          </w:rPr>
                        </m:ctrlPr>
                      </m:e>
                    </m:d>
                  </m:e>
                </m:nary>
                <m:r>
                  <w:rPr>
                    <w:rFonts w:ascii="Cambria Math" w:hAnsi="Cambria Math" w:cs="Calibri"/>
                    <w:szCs w:val="22"/>
                  </w:rPr>
                  <m:t>+b</m:t>
                </m:r>
              </m:oMath>
            </m:oMathPara>
          </w:p>
        </w:tc>
        <w:tc>
          <w:tcPr>
            <w:tcW w:w="4508" w:type="dxa"/>
          </w:tcPr>
          <w:p w14:paraId="4BFAF075" w14:textId="77777777" w:rsidR="00334D82" w:rsidRPr="0015120D" w:rsidRDefault="00334D82" w:rsidP="0015120D">
            <w:pPr>
              <w:spacing w:after="0" w:line="480" w:lineRule="auto"/>
              <w:jc w:val="both"/>
              <w:rPr>
                <w:rFonts w:hAnsi="Calibri" w:cs="Calibri"/>
                <w:szCs w:val="22"/>
              </w:rPr>
            </w:pPr>
          </w:p>
          <w:p w14:paraId="74E792DD"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(4)</w:t>
            </w:r>
          </w:p>
        </w:tc>
      </w:tr>
    </w:tbl>
    <w:p w14:paraId="02465148"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Where, the kernel function is represented by  </w:t>
      </w:r>
      <m:oMath>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x,x_i )</m:t>
        </m:r>
      </m:oMath>
      <w:r w:rsidRPr="0015120D">
        <w:rPr>
          <w:rFonts w:hAnsi="Calibri" w:cs="Calibri"/>
          <w:szCs w:val="22"/>
        </w:rPr>
        <w:t>. In this study, the commonly used non-linear RBF kernel function was used because of its better performance and estimates compared to other kernel functions</w:t>
      </w:r>
    </w:p>
    <w:tbl>
      <w:tblPr>
        <w:tblW w:w="0" w:type="auto"/>
        <w:tblLook w:val="04A0" w:firstRow="1" w:lastRow="0" w:firstColumn="1" w:lastColumn="0" w:noHBand="0" w:noVBand="1"/>
      </w:tblPr>
      <w:tblGrid>
        <w:gridCol w:w="4508"/>
        <w:gridCol w:w="4508"/>
      </w:tblGrid>
      <w:tr w:rsidR="00334D82" w:rsidRPr="0015120D" w14:paraId="5000B3CA" w14:textId="77777777" w:rsidTr="00B342EA">
        <w:trPr>
          <w:trHeight w:val="826"/>
        </w:trPr>
        <w:tc>
          <w:tcPr>
            <w:tcW w:w="4508" w:type="dxa"/>
          </w:tcPr>
          <w:p w14:paraId="5EA8E8AF" w14:textId="77777777" w:rsidR="00334D82" w:rsidRPr="0015120D" w:rsidRDefault="00334D82" w:rsidP="0015120D">
            <w:pPr>
              <w:spacing w:after="0" w:line="480" w:lineRule="auto"/>
              <w:jc w:val="both"/>
              <w:rPr>
                <w:rFonts w:hAnsi="Calibri" w:cs="Calibri"/>
                <w:szCs w:val="22"/>
              </w:rPr>
            </w:pPr>
            <w:bookmarkStart w:id="0" w:name="_Hlk45477891"/>
            <m:oMathPara>
              <m:oMathParaPr>
                <m:jc m:val="left"/>
              </m:oMathParaPr>
              <m:oMath>
                <m:r>
                  <w:rPr>
                    <w:rFonts w:ascii="Cambria Math" w:hAnsi="Cambria Math" w:cs="Calibri"/>
                    <w:szCs w:val="22"/>
                  </w:rPr>
                  <m:t>K</m:t>
                </m:r>
                <m:sSub>
                  <m:sSubPr>
                    <m:ctrlPr>
                      <w:rPr>
                        <w:rFonts w:ascii="Cambria Math" w:hAnsi="Cambria Math" w:cs="Calibri"/>
                        <w:i/>
                        <w:szCs w:val="22"/>
                      </w:rPr>
                    </m:ctrlPr>
                  </m:sSubPr>
                  <m:e>
                    <m:r>
                      <w:rPr>
                        <w:rFonts w:ascii="Cambria Math" w:hAnsi="Cambria Math" w:cs="Calibri"/>
                        <w:szCs w:val="22"/>
                      </w:rPr>
                      <m:t>K</m:t>
                    </m:r>
                  </m:e>
                  <m:sub>
                    <m:r>
                      <w:rPr>
                        <w:rFonts w:ascii="Cambria Math" w:hAnsi="Cambria Math" w:cs="Calibri"/>
                        <w:szCs w:val="22"/>
                      </w:rPr>
                      <m:t>rbf</m:t>
                    </m:r>
                  </m:sub>
                </m:sSub>
                <m:d>
                  <m:dPr>
                    <m:ctrlPr>
                      <w:rPr>
                        <w:rFonts w:ascii="Cambria Math" w:hAnsi="Cambria Math" w:cs="Calibri"/>
                        <w:szCs w:val="22"/>
                      </w:rPr>
                    </m:ctrlPr>
                  </m:dPr>
                  <m:e>
                    <m:r>
                      <w:rPr>
                        <w:rFonts w:ascii="Cambria Math" w:hAnsi="Cambria Math" w:cs="Calibri"/>
                        <w:szCs w:val="22"/>
                      </w:rPr>
                      <m:t>x,</m:t>
                    </m:r>
                    <m:sSub>
                      <m:sSubPr>
                        <m:ctrlPr>
                          <w:rPr>
                            <w:rFonts w:ascii="Cambria Math" w:hAnsi="Cambria Math" w:cs="Calibri"/>
                            <w:i/>
                            <w:szCs w:val="22"/>
                          </w:rPr>
                        </m:ctrlPr>
                      </m:sSubPr>
                      <m:e>
                        <m:r>
                          <w:rPr>
                            <w:rFonts w:ascii="Cambria Math" w:hAnsi="Cambria Math" w:cs="Calibri"/>
                            <w:szCs w:val="22"/>
                          </w:rPr>
                          <m:t>x</m:t>
                        </m:r>
                      </m:e>
                      <m:sub>
                        <m:r>
                          <w:rPr>
                            <w:rFonts w:ascii="Cambria Math" w:hAnsi="Cambria Math" w:cs="Calibri"/>
                            <w:szCs w:val="22"/>
                          </w:rPr>
                          <m:t>i</m:t>
                        </m:r>
                      </m:sub>
                    </m:sSub>
                    <m:ctrlPr>
                      <w:rPr>
                        <w:rFonts w:ascii="Cambria Math" w:hAnsi="Cambria Math" w:cs="Calibri"/>
                        <w:i/>
                        <w:szCs w:val="22"/>
                      </w:rPr>
                    </m:ctrlPr>
                  </m:e>
                </m:d>
                <m:r>
                  <w:rPr>
                    <w:rFonts w:ascii="Cambria Math" w:hAnsi="Cambria Math" w:cs="Calibri"/>
                    <w:szCs w:val="22"/>
                  </w:rPr>
                  <m:t>=</m:t>
                </m:r>
                <m:func>
                  <m:funcPr>
                    <m:ctrlPr>
                      <w:rPr>
                        <w:rFonts w:ascii="Cambria Math" w:hAnsi="Cambria Math" w:cs="Calibri"/>
                        <w:szCs w:val="22"/>
                      </w:rPr>
                    </m:ctrlPr>
                  </m:funcPr>
                  <m:fName>
                    <m:r>
                      <m:rPr>
                        <m:sty m:val="p"/>
                      </m:rPr>
                      <w:rPr>
                        <w:rFonts w:ascii="Cambria Math" w:hAnsi="Cambria Math" w:cs="Calibri"/>
                        <w:szCs w:val="22"/>
                      </w:rPr>
                      <m:t>exp</m:t>
                    </m:r>
                    <m:ctrlPr>
                      <w:rPr>
                        <w:rFonts w:ascii="Cambria Math" w:hAnsi="Cambria Math" w:cs="Calibri"/>
                        <w:i/>
                        <w:szCs w:val="22"/>
                      </w:rPr>
                    </m:ctrlPr>
                  </m:fName>
                  <m:e>
                    <m:d>
                      <m:dPr>
                        <m:begChr m:val="["/>
                        <m:endChr m:val="]"/>
                        <m:ctrlPr>
                          <w:rPr>
                            <w:rFonts w:ascii="Cambria Math" w:hAnsi="Cambria Math" w:cs="Calibri"/>
                            <w:szCs w:val="22"/>
                          </w:rPr>
                        </m:ctrlPr>
                      </m:dPr>
                      <m:e>
                        <m:f>
                          <m:fPr>
                            <m:ctrlPr>
                              <w:rPr>
                                <w:rFonts w:ascii="Cambria Math" w:hAnsi="Cambria Math" w:cs="Calibri"/>
                                <w:szCs w:val="22"/>
                              </w:rPr>
                            </m:ctrlPr>
                          </m:fPr>
                          <m:num>
                            <m:r>
                              <w:rPr>
                                <w:rFonts w:ascii="Cambria Math" w:hAnsi="Cambria Math" w:cs="Calibri"/>
                                <w:szCs w:val="22"/>
                              </w:rPr>
                              <m:t>-</m:t>
                            </m:r>
                            <m:sSup>
                              <m:sSupPr>
                                <m:ctrlPr>
                                  <w:rPr>
                                    <w:rFonts w:ascii="Cambria Math" w:hAnsi="Cambria Math" w:cs="Calibri"/>
                                    <w:i/>
                                    <w:szCs w:val="22"/>
                                  </w:rPr>
                                </m:ctrlPr>
                              </m:sSupPr>
                              <m:e>
                                <m:d>
                                  <m:dPr>
                                    <m:ctrlPr>
                                      <w:rPr>
                                        <w:rFonts w:ascii="Cambria Math" w:hAnsi="Cambria Math" w:cs="Calibri"/>
                                        <w:szCs w:val="22"/>
                                      </w:rPr>
                                    </m:ctrlPr>
                                  </m:dPr>
                                  <m:e>
                                    <m:r>
                                      <w:rPr>
                                        <w:rFonts w:ascii="Cambria Math" w:hAnsi="Cambria Math" w:cs="Calibri"/>
                                        <w:szCs w:val="22"/>
                                      </w:rPr>
                                      <m:t>x-</m:t>
                                    </m:r>
                                    <m:sSub>
                                      <m:sSubPr>
                                        <m:ctrlPr>
                                          <w:rPr>
                                            <w:rFonts w:ascii="Cambria Math" w:hAnsi="Cambria Math" w:cs="Calibri"/>
                                            <w:i/>
                                            <w:szCs w:val="22"/>
                                          </w:rPr>
                                        </m:ctrlPr>
                                      </m:sSubPr>
                                      <m:e>
                                        <m:r>
                                          <w:rPr>
                                            <w:rFonts w:ascii="Cambria Math" w:hAnsi="Cambria Math" w:cs="Calibri"/>
                                            <w:szCs w:val="22"/>
                                          </w:rPr>
                                          <m:t>x</m:t>
                                        </m:r>
                                      </m:e>
                                      <m:sub>
                                        <m:r>
                                          <w:rPr>
                                            <w:rFonts w:ascii="Cambria Math" w:hAnsi="Cambria Math" w:cs="Calibri"/>
                                            <w:szCs w:val="22"/>
                                          </w:rPr>
                                          <m:t>i</m:t>
                                        </m:r>
                                      </m:sub>
                                    </m:sSub>
                                    <m:ctrlPr>
                                      <w:rPr>
                                        <w:rFonts w:ascii="Cambria Math" w:hAnsi="Cambria Math" w:cs="Calibri"/>
                                        <w:i/>
                                        <w:szCs w:val="22"/>
                                      </w:rPr>
                                    </m:ctrlPr>
                                  </m:e>
                                </m:d>
                              </m:e>
                              <m:sup>
                                <m:r>
                                  <w:rPr>
                                    <w:rFonts w:ascii="Cambria Math" w:hAnsi="Cambria Math" w:cs="Calibri"/>
                                    <w:szCs w:val="22"/>
                                  </w:rPr>
                                  <m:t>2</m:t>
                                </m:r>
                              </m:sup>
                            </m:sSup>
                            <m:ctrlPr>
                              <w:rPr>
                                <w:rFonts w:ascii="Cambria Math" w:hAnsi="Cambria Math" w:cs="Calibri"/>
                                <w:i/>
                                <w:szCs w:val="22"/>
                              </w:rPr>
                            </m:ctrlPr>
                          </m:num>
                          <m:den>
                            <m:r>
                              <w:rPr>
                                <w:rFonts w:ascii="Cambria Math" w:hAnsi="Cambria Math" w:cs="Calibri"/>
                                <w:szCs w:val="22"/>
                              </w:rPr>
                              <m:t>2</m:t>
                            </m:r>
                            <m:sSup>
                              <m:sSupPr>
                                <m:ctrlPr>
                                  <w:rPr>
                                    <w:rFonts w:ascii="Cambria Math" w:hAnsi="Cambria Math" w:cs="Calibri"/>
                                    <w:i/>
                                    <w:szCs w:val="22"/>
                                  </w:rPr>
                                </m:ctrlPr>
                              </m:sSupPr>
                              <m:e>
                                <m:r>
                                  <m:rPr>
                                    <m:sty m:val="p"/>
                                  </m:rPr>
                                  <w:rPr>
                                    <w:rFonts w:ascii="Cambria Math" w:hAnsi="Cambria Math" w:cs="Calibri"/>
                                    <w:szCs w:val="22"/>
                                  </w:rPr>
                                  <m:t>σ</m:t>
                                </m:r>
                              </m:e>
                              <m:sup>
                                <m:r>
                                  <w:rPr>
                                    <w:rFonts w:ascii="Cambria Math" w:hAnsi="Cambria Math" w:cs="Calibri"/>
                                    <w:szCs w:val="22"/>
                                  </w:rPr>
                                  <m:t>2</m:t>
                                </m:r>
                              </m:sup>
                            </m:sSup>
                            <m:ctrlPr>
                              <w:rPr>
                                <w:rFonts w:ascii="Cambria Math" w:hAnsi="Cambria Math" w:cs="Calibri"/>
                                <w:i/>
                                <w:szCs w:val="22"/>
                              </w:rPr>
                            </m:ctrlPr>
                          </m:den>
                        </m:f>
                        <m:ctrlPr>
                          <w:rPr>
                            <w:rFonts w:ascii="Cambria Math" w:hAnsi="Cambria Math" w:cs="Calibri"/>
                            <w:i/>
                            <w:szCs w:val="22"/>
                          </w:rPr>
                        </m:ctrlPr>
                      </m:e>
                    </m:d>
                  </m:e>
                </m:func>
              </m:oMath>
            </m:oMathPara>
            <w:bookmarkEnd w:id="0"/>
          </w:p>
        </w:tc>
        <w:tc>
          <w:tcPr>
            <w:tcW w:w="4508" w:type="dxa"/>
          </w:tcPr>
          <w:p w14:paraId="10F35DE4" w14:textId="77777777" w:rsidR="00334D82" w:rsidRPr="0015120D" w:rsidRDefault="00334D82" w:rsidP="0015120D">
            <w:pPr>
              <w:spacing w:after="0" w:line="480" w:lineRule="auto"/>
              <w:jc w:val="both"/>
              <w:rPr>
                <w:rFonts w:hAnsi="Calibri" w:cs="Calibri"/>
                <w:szCs w:val="22"/>
              </w:rPr>
            </w:pPr>
          </w:p>
          <w:p w14:paraId="6365B5EA"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(5)</w:t>
            </w:r>
          </w:p>
        </w:tc>
      </w:tr>
    </w:tbl>
    <w:p w14:paraId="45FE27CC"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The complete explanation and the SVM algorithm estimation techniques can be found </w:t>
      </w:r>
      <w:proofErr w:type="gramStart"/>
      <w:r w:rsidRPr="0015120D">
        <w:rPr>
          <w:rFonts w:hAnsi="Calibri" w:cs="Calibri"/>
          <w:szCs w:val="22"/>
        </w:rPr>
        <w:t xml:space="preserve">in  </w:t>
      </w:r>
      <w:r w:rsidRPr="0015120D">
        <w:rPr>
          <w:rFonts w:hAnsi="Calibri" w:cs="Calibri"/>
          <w:noProof/>
          <w:szCs w:val="22"/>
        </w:rPr>
        <w:t>Vapnik</w:t>
      </w:r>
      <w:proofErr w:type="gramEnd"/>
      <w:r w:rsidRPr="0015120D">
        <w:rPr>
          <w:rFonts w:hAnsi="Calibri" w:cs="Calibri"/>
          <w:noProof/>
          <w:szCs w:val="22"/>
        </w:rPr>
        <w:t xml:space="preserve"> (2013)</w:t>
      </w:r>
      <w:r w:rsidRPr="0015120D">
        <w:rPr>
          <w:rFonts w:hAnsi="Calibri" w:cs="Calibri"/>
          <w:szCs w:val="22"/>
        </w:rPr>
        <w:t>.</w:t>
      </w:r>
    </w:p>
    <w:p w14:paraId="424987AA" w14:textId="49C42291" w:rsidR="00334D82" w:rsidRPr="0015120D" w:rsidRDefault="0015120D" w:rsidP="0015120D">
      <w:pPr>
        <w:spacing w:line="480" w:lineRule="auto"/>
        <w:jc w:val="both"/>
        <w:rPr>
          <w:rFonts w:hAnsi="Calibri" w:cs="Calibri"/>
          <w:b/>
          <w:bCs/>
          <w:szCs w:val="22"/>
        </w:rPr>
      </w:pPr>
      <w:r w:rsidRPr="0015120D">
        <w:rPr>
          <w:rFonts w:hAnsi="Calibri" w:cs="Calibri"/>
          <w:b/>
          <w:bCs/>
          <w:szCs w:val="22"/>
        </w:rPr>
        <w:t>3.2 EXTREME GRADIENT BOOSTING (XGBOOST)</w:t>
      </w:r>
      <w:r>
        <w:rPr>
          <w:rFonts w:hAnsi="Calibri" w:cs="Calibri"/>
          <w:b/>
          <w:bCs/>
          <w:szCs w:val="22"/>
        </w:rPr>
        <w:t>:</w:t>
      </w:r>
    </w:p>
    <w:p w14:paraId="19E65456" w14:textId="77777777" w:rsidR="00334D82" w:rsidRPr="0015120D" w:rsidRDefault="00334D82" w:rsidP="0015120D">
      <w:pPr>
        <w:spacing w:line="480" w:lineRule="auto"/>
        <w:jc w:val="both"/>
        <w:rPr>
          <w:rFonts w:hAnsi="Calibri" w:cs="Calibri"/>
          <w:szCs w:val="22"/>
        </w:rPr>
      </w:pPr>
      <w:r w:rsidRPr="0015120D">
        <w:rPr>
          <w:rFonts w:hAnsi="Calibri" w:cs="Calibri"/>
          <w:szCs w:val="22"/>
        </w:rPr>
        <w:fldChar w:fldCharType="begin" w:fldLock="1"/>
      </w:r>
      <w:r w:rsidRPr="0015120D">
        <w:rPr>
          <w:rFonts w:hAnsi="Calibri" w:cs="Calibri"/>
          <w:szCs w:val="22"/>
        </w:rPr>
        <w:instrText>ADDIN CSL_CITATION {"citationItems":[{"id":"ITEM-1","itemData":{"DOI":"10.1145/2939672.2939785","ISBN":"9781450342322","abstract":"Tree boosting is a highly effective and widely used machine learning method. In this paper, we describe a scalable endto-end tree boosting system called XGBoost, which is used widely by data scientists to achieve state-of-the-art results on many machine learning challenges. We propose a novel sparsity-aware algorithm for sparse data and weighted quantile sketch for approximate tree learning. More importantly, we provide insights on cache access patterns, data compression and sharding to build a scalable tree boosting system. By combining these insights, XGBoost scales beyond billions of examples using far fewer resources than existing systems.","author":[{"dropping-particle":"","family":"Chen","given":"Tianqi","non-dropping-particle":"","parse-names":false,"suffix":""},{"dropping-particle":"","family":"Guestrin","given":"Carlos","non-dropping-particle":"","parse-names":false,"suffix":""}],"container-title":"Proceedings of the ACM SIGKDD International Conference on Knowledge Discovery and Data Mining","id":"ITEM-1","issued":{"date-parts":[["2016"]]},"page":"785-794","publisher":"ACM","publisher-place":"New York, NY, USA","title":"XGBoost: A scalable tree boosting system","type":"paper-conference","volume":"13-17-Augu"},"uris":["http://www.mendeley.com/documents/?uuid=578d89f7-c7c7-3508-8d15-2c595705ec8e"]}],"mendeley":{"formattedCitation":"(Tianqi Chen and Guestrin 2016)","manualFormatting":"Chen and Guestrin (2016)","plainTextFormattedCitation":"(Tianqi Chen and Guestrin 2016)","previouslyFormattedCitation":"(Tianqi Chen and Guestrin 2016)"},"properties":{"noteIndex":0},"schema":"https://github.com/citation-style-language/schema/raw/master/csl-citation.json"}</w:instrText>
      </w:r>
      <w:r w:rsidRPr="0015120D">
        <w:rPr>
          <w:rFonts w:hAnsi="Calibri" w:cs="Calibri"/>
          <w:szCs w:val="22"/>
        </w:rPr>
        <w:fldChar w:fldCharType="separate"/>
      </w:r>
      <w:r w:rsidRPr="0015120D">
        <w:rPr>
          <w:rFonts w:hAnsi="Calibri" w:cs="Calibri"/>
          <w:noProof/>
          <w:szCs w:val="22"/>
        </w:rPr>
        <w:t>Chen and Guestrin (2016)</w:t>
      </w:r>
      <w:r w:rsidRPr="0015120D">
        <w:rPr>
          <w:rFonts w:hAnsi="Calibri" w:cs="Calibri"/>
          <w:szCs w:val="22"/>
        </w:rPr>
        <w:fldChar w:fldCharType="end"/>
      </w:r>
      <w:r w:rsidRPr="0015120D">
        <w:rPr>
          <w:rFonts w:hAnsi="Calibri" w:cs="Calibri"/>
          <w:szCs w:val="22"/>
        </w:rPr>
        <w:t xml:space="preserve"> proposed </w:t>
      </w:r>
      <w:proofErr w:type="spellStart"/>
      <w:r w:rsidRPr="0015120D">
        <w:rPr>
          <w:rFonts w:hAnsi="Calibri" w:cs="Calibri"/>
          <w:szCs w:val="22"/>
        </w:rPr>
        <w:t>XGBoost</w:t>
      </w:r>
      <w:proofErr w:type="spellEnd"/>
      <w:r w:rsidRPr="0015120D">
        <w:rPr>
          <w:rFonts w:hAnsi="Calibri" w:cs="Calibri"/>
          <w:szCs w:val="22"/>
        </w:rPr>
        <w:t xml:space="preserve"> algorithm that represent a new implementation approach for the classification and regression trees. The algorithm is based on the "boosting" </w:t>
      </w:r>
      <w:proofErr w:type="gramStart"/>
      <w:r w:rsidRPr="0015120D">
        <w:rPr>
          <w:rFonts w:hAnsi="Calibri" w:cs="Calibri"/>
          <w:szCs w:val="22"/>
        </w:rPr>
        <w:t>idea;</w:t>
      </w:r>
      <w:proofErr w:type="gramEnd"/>
      <w:r w:rsidRPr="0015120D">
        <w:rPr>
          <w:rFonts w:hAnsi="Calibri" w:cs="Calibri"/>
          <w:szCs w:val="22"/>
        </w:rPr>
        <w:t xml:space="preserve"> which combined a collection of "decreasing" observations to develop a "solid" forecast using additive training strategies. The goal of </w:t>
      </w:r>
      <w:proofErr w:type="spellStart"/>
      <w:r w:rsidRPr="0015120D">
        <w:rPr>
          <w:rFonts w:hAnsi="Calibri" w:cs="Calibri"/>
          <w:szCs w:val="22"/>
        </w:rPr>
        <w:t>XGBoost</w:t>
      </w:r>
      <w:proofErr w:type="spellEnd"/>
      <w:r w:rsidRPr="0015120D">
        <w:rPr>
          <w:rFonts w:hAnsi="Calibri" w:cs="Calibri"/>
          <w:szCs w:val="22"/>
        </w:rPr>
        <w:t xml:space="preserve"> to drive internally fit regression equation of higher order. This is done with the simplification of objective functions, integrating statistical and regulatory conditions while maintaining the computational speed. In addition, the </w:t>
      </w:r>
      <w:proofErr w:type="spellStart"/>
      <w:r w:rsidRPr="0015120D">
        <w:rPr>
          <w:rFonts w:hAnsi="Calibri" w:cs="Calibri"/>
          <w:szCs w:val="22"/>
        </w:rPr>
        <w:t>XGBoost</w:t>
      </w:r>
      <w:proofErr w:type="spellEnd"/>
      <w:r w:rsidRPr="0015120D">
        <w:rPr>
          <w:rFonts w:hAnsi="Calibri" w:cs="Calibri"/>
          <w:szCs w:val="22"/>
        </w:rPr>
        <w:t xml:space="preserve"> automatically carries out parallel calculations during the training stage. The equation 6 explains in the </w:t>
      </w:r>
      <w:proofErr w:type="spellStart"/>
      <w:r w:rsidRPr="0015120D">
        <w:rPr>
          <w:rFonts w:hAnsi="Calibri" w:cs="Calibri"/>
          <w:szCs w:val="22"/>
        </w:rPr>
        <w:t>XGBoost</w:t>
      </w:r>
      <w:proofErr w:type="spellEnd"/>
      <w:r w:rsidRPr="0015120D">
        <w:rPr>
          <w:rFonts w:hAnsi="Calibri" w:cs="Calibri"/>
          <w:szCs w:val="22"/>
        </w:rPr>
        <w:t xml:space="preserve"> additive learning processes. First, the first learner is tailored to the whole data area, and then a second model is modified to fix the disadvantages of the weak class. This fit is repeated several times until the stop criterion is fulfilled. The projection number of each class obtains the final prediction of the model.      </w:t>
      </w:r>
    </w:p>
    <w:p w14:paraId="343E16F9" w14:textId="77777777" w:rsidR="00334D82" w:rsidRPr="0015120D" w:rsidRDefault="00334D82" w:rsidP="0015120D">
      <w:pPr>
        <w:spacing w:line="480" w:lineRule="auto"/>
        <w:jc w:val="both"/>
        <w:rPr>
          <w:rFonts w:hAnsi="Calibri" w:cs="Calibri"/>
          <w:szCs w:val="22"/>
        </w:rPr>
      </w:pPr>
      <w:r w:rsidRPr="0015120D">
        <w:rPr>
          <w:rFonts w:hAnsi="Calibri" w:cs="Calibri"/>
          <w:szCs w:val="22"/>
        </w:rPr>
        <w:t>The general prediction function is as follows in step t:</w:t>
      </w:r>
    </w:p>
    <w:tbl>
      <w:tblPr>
        <w:tblW w:w="0" w:type="auto"/>
        <w:tblLook w:val="04A0" w:firstRow="1" w:lastRow="0" w:firstColumn="1" w:lastColumn="0" w:noHBand="0" w:noVBand="1"/>
      </w:tblPr>
      <w:tblGrid>
        <w:gridCol w:w="4508"/>
        <w:gridCol w:w="4508"/>
      </w:tblGrid>
      <w:tr w:rsidR="00334D82" w:rsidRPr="0015120D" w14:paraId="6B5E1677" w14:textId="77777777" w:rsidTr="00B342EA">
        <w:trPr>
          <w:trHeight w:val="988"/>
        </w:trPr>
        <w:tc>
          <w:tcPr>
            <w:tcW w:w="4508" w:type="dxa"/>
          </w:tcPr>
          <w:bookmarkStart w:id="1" w:name="_Hlk43504694"/>
          <w:p w14:paraId="4D041CFB" w14:textId="77777777" w:rsidR="00334D82" w:rsidRPr="0015120D" w:rsidRDefault="00000000" w:rsidP="0015120D">
            <w:pPr>
              <w:spacing w:after="0" w:line="480" w:lineRule="auto"/>
              <w:jc w:val="both"/>
              <w:rPr>
                <w:rFonts w:hAnsi="Calibri" w:cs="Calibri"/>
                <w:szCs w:val="22"/>
              </w:rPr>
            </w:pPr>
            <m:oMathPara>
              <m:oMathParaPr>
                <m:jc m:val="left"/>
              </m:oMathParaPr>
              <m:oMath>
                <m:sSubSup>
                  <m:sSubSupPr>
                    <m:ctrlPr>
                      <w:rPr>
                        <w:rFonts w:ascii="Cambria Math" w:hAnsi="Cambria Math" w:cs="Calibri"/>
                        <w:i/>
                        <w:szCs w:val="22"/>
                      </w:rPr>
                    </m:ctrlPr>
                  </m:sSubSupPr>
                  <m:e>
                    <m:r>
                      <w:rPr>
                        <w:rFonts w:ascii="Cambria Math" w:hAnsi="Cambria Math" w:cs="Calibri"/>
                        <w:szCs w:val="22"/>
                      </w:rPr>
                      <m:t>f</m:t>
                    </m:r>
                  </m:e>
                  <m:sub>
                    <m:r>
                      <w:rPr>
                        <w:rFonts w:ascii="Cambria Math" w:hAnsi="Cambria Math" w:cs="Calibri"/>
                        <w:szCs w:val="22"/>
                      </w:rPr>
                      <m:t>i</m:t>
                    </m:r>
                  </m:sub>
                  <m:sup>
                    <m:d>
                      <m:dPr>
                        <m:ctrlPr>
                          <w:rPr>
                            <w:rFonts w:ascii="Cambria Math" w:hAnsi="Cambria Math" w:cs="Calibri"/>
                            <w:i/>
                            <w:szCs w:val="22"/>
                          </w:rPr>
                        </m:ctrlPr>
                      </m:dPr>
                      <m:e>
                        <m:r>
                          <w:rPr>
                            <w:rFonts w:ascii="Cambria Math" w:hAnsi="Cambria Math" w:cs="Calibri"/>
                            <w:szCs w:val="22"/>
                          </w:rPr>
                          <m:t>t</m:t>
                        </m:r>
                      </m:e>
                    </m:d>
                  </m:sup>
                </m:sSubSup>
                <m:r>
                  <w:rPr>
                    <w:rFonts w:ascii="Cambria Math" w:hAnsi="Cambria Math" w:cs="Calibri"/>
                    <w:szCs w:val="22"/>
                  </w:rPr>
                  <m:t>=</m:t>
                </m:r>
                <m:nary>
                  <m:naryPr>
                    <m:chr m:val="∑"/>
                    <m:ctrlPr>
                      <w:rPr>
                        <w:rFonts w:ascii="Cambria Math" w:hAnsi="Cambria Math" w:cs="Calibri"/>
                        <w:szCs w:val="22"/>
                      </w:rPr>
                    </m:ctrlPr>
                  </m:naryPr>
                  <m:sub>
                    <m:r>
                      <w:rPr>
                        <w:rFonts w:ascii="Cambria Math" w:hAnsi="Cambria Math" w:cs="Calibri"/>
                        <w:szCs w:val="22"/>
                      </w:rPr>
                      <m:t>k=1</m:t>
                    </m:r>
                    <m:ctrlPr>
                      <w:rPr>
                        <w:rFonts w:ascii="Cambria Math" w:hAnsi="Cambria Math" w:cs="Calibri"/>
                        <w:i/>
                        <w:szCs w:val="22"/>
                      </w:rPr>
                    </m:ctrlPr>
                  </m:sub>
                  <m:sup>
                    <m:r>
                      <w:rPr>
                        <w:rFonts w:ascii="Cambria Math" w:hAnsi="Cambria Math" w:cs="Calibri"/>
                        <w:szCs w:val="22"/>
                      </w:rPr>
                      <m:t>t</m:t>
                    </m:r>
                    <m:ctrlPr>
                      <w:rPr>
                        <w:rFonts w:ascii="Cambria Math" w:hAnsi="Cambria Math" w:cs="Calibri"/>
                        <w:i/>
                        <w:szCs w:val="22"/>
                      </w:rPr>
                    </m:ctrlPr>
                  </m:sup>
                  <m:e>
                    <m:sSub>
                      <m:sSubPr>
                        <m:ctrlPr>
                          <w:rPr>
                            <w:rFonts w:ascii="Cambria Math" w:hAnsi="Cambria Math" w:cs="Calibri"/>
                            <w:i/>
                            <w:szCs w:val="22"/>
                          </w:rPr>
                        </m:ctrlPr>
                      </m:sSubPr>
                      <m:e>
                        <m:r>
                          <w:rPr>
                            <w:rFonts w:ascii="Cambria Math" w:hAnsi="Cambria Math" w:cs="Calibri"/>
                            <w:szCs w:val="22"/>
                          </w:rPr>
                          <m:t>f</m:t>
                        </m:r>
                      </m:e>
                      <m:sub>
                        <m:r>
                          <w:rPr>
                            <w:rFonts w:ascii="Cambria Math" w:hAnsi="Cambria Math" w:cs="Calibri"/>
                            <w:szCs w:val="22"/>
                          </w:rPr>
                          <m:t>k</m:t>
                        </m:r>
                      </m:sub>
                    </m:sSub>
                    <m:d>
                      <m:dPr>
                        <m:ctrlPr>
                          <w:rPr>
                            <w:rFonts w:ascii="Cambria Math" w:hAnsi="Cambria Math" w:cs="Calibri"/>
                            <w:szCs w:val="22"/>
                          </w:rPr>
                        </m:ctrlPr>
                      </m:dPr>
                      <m:e>
                        <m:sSub>
                          <m:sSubPr>
                            <m:ctrlPr>
                              <w:rPr>
                                <w:rFonts w:ascii="Cambria Math" w:hAnsi="Cambria Math" w:cs="Calibri"/>
                                <w:i/>
                                <w:szCs w:val="22"/>
                              </w:rPr>
                            </m:ctrlPr>
                          </m:sSubPr>
                          <m:e>
                            <m:r>
                              <w:rPr>
                                <w:rFonts w:ascii="Cambria Math" w:hAnsi="Cambria Math" w:cs="Calibri"/>
                                <w:szCs w:val="22"/>
                              </w:rPr>
                              <m:t>x</m:t>
                            </m:r>
                            <m:ctrlPr>
                              <w:rPr>
                                <w:rFonts w:ascii="Cambria Math" w:hAnsi="Cambria Math" w:cs="Calibri"/>
                                <w:szCs w:val="22"/>
                              </w:rPr>
                            </m:ctrlPr>
                          </m:e>
                          <m:sub>
                            <m:r>
                              <w:rPr>
                                <w:rFonts w:ascii="Cambria Math" w:hAnsi="Cambria Math" w:cs="Calibri"/>
                                <w:szCs w:val="22"/>
                              </w:rPr>
                              <m:t>i</m:t>
                            </m:r>
                          </m:sub>
                        </m:sSub>
                        <m:ctrlPr>
                          <w:rPr>
                            <w:rFonts w:ascii="Cambria Math" w:hAnsi="Cambria Math" w:cs="Calibri"/>
                            <w:i/>
                            <w:szCs w:val="22"/>
                          </w:rPr>
                        </m:ctrlPr>
                      </m:e>
                    </m:d>
                    <m:ctrlPr>
                      <w:rPr>
                        <w:rFonts w:ascii="Cambria Math" w:hAnsi="Cambria Math" w:cs="Calibri"/>
                        <w:i/>
                        <w:szCs w:val="22"/>
                      </w:rPr>
                    </m:ctrlPr>
                  </m:e>
                </m:nary>
                <m:r>
                  <w:rPr>
                    <w:rFonts w:ascii="Cambria Math" w:hAnsi="Cambria Math" w:cs="Calibri"/>
                    <w:szCs w:val="22"/>
                  </w:rPr>
                  <m:t>=</m:t>
                </m:r>
                <m:sSubSup>
                  <m:sSubSupPr>
                    <m:ctrlPr>
                      <w:rPr>
                        <w:rFonts w:ascii="Cambria Math" w:hAnsi="Cambria Math" w:cs="Calibri"/>
                        <w:i/>
                        <w:szCs w:val="22"/>
                      </w:rPr>
                    </m:ctrlPr>
                  </m:sSubSupPr>
                  <m:e>
                    <m:r>
                      <w:rPr>
                        <w:rFonts w:ascii="Cambria Math" w:hAnsi="Cambria Math" w:cs="Calibri"/>
                        <w:szCs w:val="22"/>
                      </w:rPr>
                      <m:t>f</m:t>
                    </m:r>
                  </m:e>
                  <m:sub>
                    <m:r>
                      <w:rPr>
                        <w:rFonts w:ascii="Cambria Math" w:hAnsi="Cambria Math" w:cs="Calibri"/>
                        <w:szCs w:val="22"/>
                      </w:rPr>
                      <m:t>i</m:t>
                    </m:r>
                  </m:sub>
                  <m:sup>
                    <m:d>
                      <m:dPr>
                        <m:ctrlPr>
                          <w:rPr>
                            <w:rFonts w:ascii="Cambria Math" w:hAnsi="Cambria Math" w:cs="Calibri"/>
                            <w:i/>
                            <w:szCs w:val="22"/>
                          </w:rPr>
                        </m:ctrlPr>
                      </m:dPr>
                      <m:e>
                        <m:r>
                          <w:rPr>
                            <w:rFonts w:ascii="Cambria Math" w:hAnsi="Cambria Math" w:cs="Calibri"/>
                            <w:szCs w:val="22"/>
                          </w:rPr>
                          <m:t>t-1</m:t>
                        </m:r>
                      </m:e>
                    </m:d>
                  </m:sup>
                </m:sSubSup>
                <m:r>
                  <w:rPr>
                    <w:rFonts w:ascii="Cambria Math" w:hAnsi="Cambria Math" w:cs="Calibri"/>
                    <w:szCs w:val="22"/>
                  </w:rPr>
                  <m:t>+</m:t>
                </m:r>
                <m:sSub>
                  <m:sSubPr>
                    <m:ctrlPr>
                      <w:rPr>
                        <w:rFonts w:ascii="Cambria Math" w:hAnsi="Cambria Math" w:cs="Calibri"/>
                        <w:i/>
                        <w:szCs w:val="22"/>
                      </w:rPr>
                    </m:ctrlPr>
                  </m:sSubPr>
                  <m:e>
                    <m:r>
                      <w:rPr>
                        <w:rFonts w:ascii="Cambria Math" w:hAnsi="Cambria Math" w:cs="Calibri"/>
                        <w:szCs w:val="22"/>
                      </w:rPr>
                      <m:t>f</m:t>
                    </m:r>
                  </m:e>
                  <m:sub>
                    <m:r>
                      <w:rPr>
                        <w:rFonts w:ascii="Cambria Math" w:hAnsi="Cambria Math" w:cs="Calibri"/>
                        <w:szCs w:val="22"/>
                      </w:rPr>
                      <m:t>t</m:t>
                    </m:r>
                  </m:sub>
                </m:sSub>
                <m:d>
                  <m:dPr>
                    <m:ctrlPr>
                      <w:rPr>
                        <w:rFonts w:ascii="Cambria Math" w:hAnsi="Cambria Math" w:cs="Calibri"/>
                        <w:szCs w:val="22"/>
                      </w:rPr>
                    </m:ctrlPr>
                  </m:dPr>
                  <m:e>
                    <m:sSub>
                      <m:sSubPr>
                        <m:ctrlPr>
                          <w:rPr>
                            <w:rFonts w:ascii="Cambria Math" w:hAnsi="Cambria Math" w:cs="Calibri"/>
                            <w:i/>
                            <w:szCs w:val="22"/>
                          </w:rPr>
                        </m:ctrlPr>
                      </m:sSubPr>
                      <m:e>
                        <m:r>
                          <w:rPr>
                            <w:rFonts w:ascii="Cambria Math" w:hAnsi="Cambria Math" w:cs="Calibri"/>
                            <w:szCs w:val="22"/>
                          </w:rPr>
                          <m:t>x</m:t>
                        </m:r>
                        <m:ctrlPr>
                          <w:rPr>
                            <w:rFonts w:ascii="Cambria Math" w:hAnsi="Cambria Math" w:cs="Calibri"/>
                            <w:szCs w:val="22"/>
                          </w:rPr>
                        </m:ctrlPr>
                      </m:e>
                      <m:sub>
                        <m:r>
                          <w:rPr>
                            <w:rFonts w:ascii="Cambria Math" w:hAnsi="Cambria Math" w:cs="Calibri"/>
                            <w:szCs w:val="22"/>
                          </w:rPr>
                          <m:t>i</m:t>
                        </m:r>
                      </m:sub>
                    </m:sSub>
                    <m:ctrlPr>
                      <w:rPr>
                        <w:rFonts w:ascii="Cambria Math" w:hAnsi="Cambria Math" w:cs="Calibri"/>
                        <w:i/>
                        <w:szCs w:val="22"/>
                      </w:rPr>
                    </m:ctrlPr>
                  </m:e>
                </m:d>
              </m:oMath>
            </m:oMathPara>
            <w:bookmarkEnd w:id="1"/>
          </w:p>
        </w:tc>
        <w:tc>
          <w:tcPr>
            <w:tcW w:w="4508" w:type="dxa"/>
          </w:tcPr>
          <w:p w14:paraId="31D8B0D0" w14:textId="77777777" w:rsidR="00334D82" w:rsidRPr="0015120D" w:rsidRDefault="00334D82" w:rsidP="0015120D">
            <w:pPr>
              <w:spacing w:after="0" w:line="480" w:lineRule="auto"/>
              <w:jc w:val="both"/>
              <w:rPr>
                <w:rFonts w:hAnsi="Calibri" w:cs="Calibri"/>
                <w:szCs w:val="22"/>
              </w:rPr>
            </w:pPr>
          </w:p>
          <w:p w14:paraId="6103D70E"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(6)</w:t>
            </w:r>
          </w:p>
        </w:tc>
      </w:tr>
    </w:tbl>
    <w:p w14:paraId="1390C008"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Where, </w:t>
      </w:r>
      <w:bookmarkStart w:id="2" w:name="_Hlk45479443"/>
      <m:oMath>
        <m:sSub>
          <m:sSubPr>
            <m:ctrlPr>
              <w:rPr>
                <w:rFonts w:ascii="Cambria Math" w:hAnsi="Cambria Math" w:cs="Calibri"/>
                <w:i/>
                <w:szCs w:val="22"/>
              </w:rPr>
            </m:ctrlPr>
          </m:sSubPr>
          <m:e>
            <m:r>
              <w:rPr>
                <w:rFonts w:ascii="Cambria Math" w:hAnsi="Cambria Math" w:cs="Calibri"/>
                <w:szCs w:val="22"/>
              </w:rPr>
              <m:t>f</m:t>
            </m:r>
          </m:e>
          <m:sub>
            <m:r>
              <w:rPr>
                <w:rFonts w:ascii="Cambria Math" w:hAnsi="Cambria Math" w:cs="Calibri"/>
                <w:szCs w:val="22"/>
              </w:rPr>
              <m:t>t</m:t>
            </m:r>
          </m:sub>
        </m:sSub>
        <m:d>
          <m:dPr>
            <m:ctrlPr>
              <w:rPr>
                <w:rFonts w:ascii="Cambria Math" w:hAnsi="Cambria Math" w:cs="Calibri"/>
                <w:szCs w:val="22"/>
              </w:rPr>
            </m:ctrlPr>
          </m:dPr>
          <m:e>
            <m:sSub>
              <m:sSubPr>
                <m:ctrlPr>
                  <w:rPr>
                    <w:rFonts w:ascii="Cambria Math" w:hAnsi="Cambria Math" w:cs="Calibri"/>
                    <w:i/>
                    <w:szCs w:val="22"/>
                  </w:rPr>
                </m:ctrlPr>
              </m:sSubPr>
              <m:e>
                <m:r>
                  <w:rPr>
                    <w:rFonts w:ascii="Cambria Math" w:hAnsi="Cambria Math" w:cs="Calibri"/>
                    <w:szCs w:val="22"/>
                  </w:rPr>
                  <m:t>x</m:t>
                </m:r>
                <m:ctrlPr>
                  <w:rPr>
                    <w:rFonts w:ascii="Cambria Math" w:hAnsi="Cambria Math" w:cs="Calibri"/>
                    <w:szCs w:val="22"/>
                  </w:rPr>
                </m:ctrlPr>
              </m:e>
              <m:sub>
                <m:r>
                  <w:rPr>
                    <w:rFonts w:ascii="Cambria Math" w:hAnsi="Cambria Math" w:cs="Calibri"/>
                    <w:szCs w:val="22"/>
                  </w:rPr>
                  <m:t>i</m:t>
                </m:r>
              </m:sub>
            </m:sSub>
            <m:ctrlPr>
              <w:rPr>
                <w:rFonts w:ascii="Cambria Math" w:hAnsi="Cambria Math" w:cs="Calibri"/>
                <w:i/>
                <w:szCs w:val="22"/>
              </w:rPr>
            </m:ctrlPr>
          </m:e>
        </m:d>
        <m:r>
          <w:rPr>
            <w:rFonts w:ascii="Cambria Math" w:hAnsi="Cambria Math" w:cs="Calibri"/>
            <w:szCs w:val="22"/>
          </w:rPr>
          <m:t xml:space="preserve">  </m:t>
        </m:r>
      </m:oMath>
      <w:bookmarkEnd w:id="2"/>
      <w:r w:rsidRPr="0015120D">
        <w:rPr>
          <w:rFonts w:hAnsi="Calibri" w:cs="Calibri"/>
          <w:szCs w:val="22"/>
        </w:rPr>
        <w:t xml:space="preserve">is the trainer at step t, and </w:t>
      </w:r>
      <w:bookmarkStart w:id="3" w:name="_Hlk45479456"/>
      <m:oMath>
        <m:sSubSup>
          <m:sSubSupPr>
            <m:ctrlPr>
              <w:rPr>
                <w:rFonts w:ascii="Cambria Math" w:hAnsi="Cambria Math" w:cs="Calibri"/>
                <w:i/>
                <w:szCs w:val="22"/>
              </w:rPr>
            </m:ctrlPr>
          </m:sSubSupPr>
          <m:e>
            <m:r>
              <w:rPr>
                <w:rFonts w:ascii="Cambria Math" w:hAnsi="Cambria Math" w:cs="Calibri"/>
                <w:szCs w:val="22"/>
              </w:rPr>
              <m:t>f</m:t>
            </m:r>
          </m:e>
          <m:sub>
            <m:r>
              <w:rPr>
                <w:rFonts w:ascii="Cambria Math" w:hAnsi="Cambria Math" w:cs="Calibri"/>
                <w:szCs w:val="22"/>
              </w:rPr>
              <m:t>i</m:t>
            </m:r>
          </m:sub>
          <m:sup>
            <m:d>
              <m:dPr>
                <m:ctrlPr>
                  <w:rPr>
                    <w:rFonts w:ascii="Cambria Math" w:hAnsi="Cambria Math" w:cs="Calibri"/>
                    <w:i/>
                    <w:szCs w:val="22"/>
                  </w:rPr>
                </m:ctrlPr>
              </m:dPr>
              <m:e>
                <m:r>
                  <w:rPr>
                    <w:rFonts w:ascii="Cambria Math" w:hAnsi="Cambria Math" w:cs="Calibri"/>
                    <w:szCs w:val="22"/>
                  </w:rPr>
                  <m:t>t</m:t>
                </m:r>
              </m:e>
            </m:d>
          </m:sup>
        </m:sSubSup>
        <m:r>
          <w:rPr>
            <w:rFonts w:ascii="Cambria Math" w:hAnsi="Cambria Math" w:cs="Calibri"/>
            <w:szCs w:val="22"/>
          </w:rPr>
          <m:t xml:space="preserve">  </m:t>
        </m:r>
      </m:oMath>
      <w:bookmarkEnd w:id="3"/>
      <w:r w:rsidRPr="0015120D">
        <w:rPr>
          <w:rFonts w:hAnsi="Calibri" w:cs="Calibri"/>
          <w:szCs w:val="22"/>
        </w:rPr>
        <w:t xml:space="preserve">and </w:t>
      </w:r>
      <m:oMath>
        <m:sSubSup>
          <m:sSubSupPr>
            <m:ctrlPr>
              <w:rPr>
                <w:rFonts w:ascii="Cambria Math" w:hAnsi="Cambria Math" w:cs="Calibri"/>
                <w:i/>
                <w:szCs w:val="22"/>
              </w:rPr>
            </m:ctrlPr>
          </m:sSubSupPr>
          <m:e>
            <m:r>
              <w:rPr>
                <w:rFonts w:ascii="Cambria Math" w:hAnsi="Cambria Math" w:cs="Calibri"/>
                <w:szCs w:val="22"/>
              </w:rPr>
              <m:t>f</m:t>
            </m:r>
          </m:e>
          <m:sub>
            <m:r>
              <w:rPr>
                <w:rFonts w:ascii="Cambria Math" w:hAnsi="Cambria Math" w:cs="Calibri"/>
                <w:szCs w:val="22"/>
              </w:rPr>
              <m:t>i</m:t>
            </m:r>
          </m:sub>
          <m:sup>
            <m:d>
              <m:dPr>
                <m:ctrlPr>
                  <w:rPr>
                    <w:rFonts w:ascii="Cambria Math" w:hAnsi="Cambria Math" w:cs="Calibri"/>
                    <w:i/>
                    <w:szCs w:val="22"/>
                  </w:rPr>
                </m:ctrlPr>
              </m:dPr>
              <m:e>
                <m:r>
                  <w:rPr>
                    <w:rFonts w:ascii="Cambria Math" w:hAnsi="Cambria Math" w:cs="Calibri"/>
                    <w:szCs w:val="22"/>
                  </w:rPr>
                  <m:t>t-1</m:t>
                </m:r>
              </m:e>
            </m:d>
          </m:sup>
        </m:sSubSup>
      </m:oMath>
      <w:r w:rsidRPr="0015120D">
        <w:rPr>
          <w:rFonts w:hAnsi="Calibri" w:cs="Calibri"/>
          <w:szCs w:val="22"/>
        </w:rPr>
        <w:t xml:space="preserve"> are the projections at steps t and t−1, and </w:t>
      </w:r>
      <w:bookmarkStart w:id="4" w:name="_Hlk45479562"/>
      <m:oMath>
        <m:sSub>
          <m:sSubPr>
            <m:ctrlPr>
              <w:rPr>
                <w:rFonts w:ascii="Cambria Math" w:hAnsi="Cambria Math" w:cs="Calibri"/>
                <w:i/>
                <w:szCs w:val="22"/>
              </w:rPr>
            </m:ctrlPr>
          </m:sSubPr>
          <m:e>
            <m:r>
              <w:rPr>
                <w:rFonts w:ascii="Cambria Math" w:hAnsi="Cambria Math" w:cs="Calibri"/>
                <w:szCs w:val="22"/>
              </w:rPr>
              <m:t>x</m:t>
            </m:r>
            <m:ctrlPr>
              <w:rPr>
                <w:rFonts w:ascii="Cambria Math" w:hAnsi="Cambria Math" w:cs="Calibri"/>
                <w:szCs w:val="22"/>
              </w:rPr>
            </m:ctrlPr>
          </m:e>
          <m:sub>
            <m:r>
              <w:rPr>
                <w:rFonts w:ascii="Cambria Math" w:hAnsi="Cambria Math" w:cs="Calibri"/>
                <w:szCs w:val="22"/>
              </w:rPr>
              <m:t>i</m:t>
            </m:r>
          </m:sub>
        </m:sSub>
        <m:r>
          <w:rPr>
            <w:rFonts w:ascii="Cambria Math" w:hAnsi="Cambria Math" w:cs="Calibri"/>
            <w:szCs w:val="22"/>
          </w:rPr>
          <m:t xml:space="preserve">   </m:t>
        </m:r>
      </m:oMath>
      <w:bookmarkEnd w:id="4"/>
      <w:r w:rsidRPr="0015120D">
        <w:rPr>
          <w:rFonts w:hAnsi="Calibri" w:cs="Calibri"/>
          <w:szCs w:val="22"/>
        </w:rPr>
        <w:t>is the input inconstant.</w:t>
      </w:r>
    </w:p>
    <w:p w14:paraId="33239C7E"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To avoid overfitting without compromising the model's computational speed, the </w:t>
      </w:r>
      <w:proofErr w:type="spellStart"/>
      <w:r w:rsidRPr="0015120D">
        <w:rPr>
          <w:rFonts w:hAnsi="Calibri" w:cs="Calibri"/>
          <w:szCs w:val="22"/>
        </w:rPr>
        <w:t>XGBoost</w:t>
      </w:r>
      <w:proofErr w:type="spellEnd"/>
      <w:r w:rsidRPr="0015120D">
        <w:rPr>
          <w:rFonts w:hAnsi="Calibri" w:cs="Calibri"/>
          <w:szCs w:val="22"/>
        </w:rPr>
        <w:t xml:space="preserve"> model derives from the following analytical equation to assess the perfection of the model using its actual function.</w:t>
      </w:r>
    </w:p>
    <w:tbl>
      <w:tblPr>
        <w:tblW w:w="9064" w:type="dxa"/>
        <w:tblLook w:val="04A0" w:firstRow="1" w:lastRow="0" w:firstColumn="1" w:lastColumn="0" w:noHBand="0" w:noVBand="1"/>
      </w:tblPr>
      <w:tblGrid>
        <w:gridCol w:w="4532"/>
        <w:gridCol w:w="4532"/>
      </w:tblGrid>
      <w:tr w:rsidR="00334D82" w:rsidRPr="0015120D" w14:paraId="7AB465F1" w14:textId="77777777" w:rsidTr="00B342EA">
        <w:trPr>
          <w:trHeight w:val="740"/>
        </w:trPr>
        <w:tc>
          <w:tcPr>
            <w:tcW w:w="4532" w:type="dxa"/>
          </w:tcPr>
          <w:p w14:paraId="78376057" w14:textId="77777777" w:rsidR="00334D82" w:rsidRPr="0015120D" w:rsidRDefault="00334D82" w:rsidP="0015120D">
            <w:pPr>
              <w:spacing w:after="0" w:line="480" w:lineRule="auto"/>
              <w:jc w:val="both"/>
              <w:rPr>
                <w:rFonts w:hAnsi="Calibri" w:cs="Calibri"/>
                <w:szCs w:val="22"/>
              </w:rPr>
            </w:pPr>
            <w:bookmarkStart w:id="5" w:name="_Hlk45479588"/>
            <m:oMathPara>
              <m:oMathParaPr>
                <m:jc m:val="left"/>
              </m:oMathParaPr>
              <m:oMath>
                <m:r>
                  <w:rPr>
                    <w:rFonts w:ascii="Cambria Math" w:hAnsi="Cambria Math" w:cs="Calibri"/>
                    <w:szCs w:val="22"/>
                  </w:rPr>
                  <m:t>Ob</m:t>
                </m:r>
                <m:sSup>
                  <m:sSupPr>
                    <m:ctrlPr>
                      <w:rPr>
                        <w:rFonts w:ascii="Cambria Math" w:hAnsi="Cambria Math" w:cs="Calibri"/>
                        <w:i/>
                        <w:szCs w:val="22"/>
                      </w:rPr>
                    </m:ctrlPr>
                  </m:sSupPr>
                  <m:e>
                    <m:r>
                      <w:rPr>
                        <w:rFonts w:ascii="Cambria Math" w:hAnsi="Cambria Math" w:cs="Calibri"/>
                        <w:szCs w:val="22"/>
                      </w:rPr>
                      <m:t>j</m:t>
                    </m:r>
                  </m:e>
                  <m:sup>
                    <m:d>
                      <m:dPr>
                        <m:ctrlPr>
                          <w:rPr>
                            <w:rFonts w:ascii="Cambria Math" w:hAnsi="Cambria Math" w:cs="Calibri"/>
                            <w:i/>
                            <w:szCs w:val="22"/>
                          </w:rPr>
                        </m:ctrlPr>
                      </m:dPr>
                      <m:e>
                        <m:r>
                          <w:rPr>
                            <w:rFonts w:ascii="Cambria Math" w:hAnsi="Cambria Math" w:cs="Calibri"/>
                            <w:szCs w:val="22"/>
                          </w:rPr>
                          <m:t>t</m:t>
                        </m:r>
                      </m:e>
                    </m:d>
                  </m:sup>
                </m:sSup>
                <m:r>
                  <w:rPr>
                    <w:rFonts w:ascii="Cambria Math" w:hAnsi="Cambria Math" w:cs="Calibri"/>
                    <w:szCs w:val="22"/>
                  </w:rPr>
                  <m:t>=</m:t>
                </m:r>
                <m:nary>
                  <m:naryPr>
                    <m:chr m:val="∑"/>
                    <m:ctrlPr>
                      <w:rPr>
                        <w:rFonts w:ascii="Cambria Math" w:hAnsi="Cambria Math" w:cs="Calibri"/>
                        <w:szCs w:val="22"/>
                      </w:rPr>
                    </m:ctrlPr>
                  </m:naryPr>
                  <m:sub>
                    <m:r>
                      <w:rPr>
                        <w:rFonts w:ascii="Cambria Math" w:hAnsi="Cambria Math" w:cs="Calibri"/>
                        <w:szCs w:val="22"/>
                      </w:rPr>
                      <m:t>k=1</m:t>
                    </m:r>
                    <m:ctrlPr>
                      <w:rPr>
                        <w:rFonts w:ascii="Cambria Math" w:hAnsi="Cambria Math" w:cs="Calibri"/>
                        <w:i/>
                        <w:szCs w:val="22"/>
                      </w:rPr>
                    </m:ctrlPr>
                  </m:sub>
                  <m:sup>
                    <m:r>
                      <w:rPr>
                        <w:rFonts w:ascii="Cambria Math" w:hAnsi="Cambria Math" w:cs="Calibri"/>
                        <w:szCs w:val="22"/>
                      </w:rPr>
                      <m:t>n</m:t>
                    </m:r>
                    <m:ctrlPr>
                      <w:rPr>
                        <w:rFonts w:ascii="Cambria Math" w:hAnsi="Cambria Math" w:cs="Calibri"/>
                        <w:i/>
                        <w:szCs w:val="22"/>
                      </w:rPr>
                    </m:ctrlPr>
                  </m:sup>
                  <m:e>
                    <m:r>
                      <w:rPr>
                        <w:rFonts w:ascii="Cambria Math" w:hAnsi="Cambria Math" w:cs="Calibri"/>
                        <w:szCs w:val="22"/>
                      </w:rPr>
                      <m:t>l</m:t>
                    </m:r>
                    <m:d>
                      <m:dPr>
                        <m:ctrlPr>
                          <w:rPr>
                            <w:rFonts w:ascii="Cambria Math" w:hAnsi="Cambria Math" w:cs="Calibri"/>
                            <w:szCs w:val="22"/>
                          </w:rPr>
                        </m:ctrlPr>
                      </m:dPr>
                      <m:e>
                        <m:acc>
                          <m:accPr>
                            <m:chr m:val="̅"/>
                            <m:ctrlPr>
                              <w:rPr>
                                <w:rFonts w:ascii="Cambria Math" w:hAnsi="Cambria Math" w:cs="Calibri"/>
                                <w:szCs w:val="22"/>
                              </w:rPr>
                            </m:ctrlPr>
                          </m:accPr>
                          <m:e>
                            <m:sSub>
                              <m:sSubPr>
                                <m:ctrlPr>
                                  <w:rPr>
                                    <w:rFonts w:ascii="Cambria Math" w:hAnsi="Cambria Math" w:cs="Calibri"/>
                                    <w:i/>
                                    <w:szCs w:val="22"/>
                                  </w:rPr>
                                </m:ctrlPr>
                              </m:sSubPr>
                              <m:e>
                                <m:r>
                                  <w:rPr>
                                    <w:rFonts w:ascii="Cambria Math" w:hAnsi="Cambria Math" w:cs="Calibri"/>
                                    <w:szCs w:val="22"/>
                                  </w:rPr>
                                  <m:t>y</m:t>
                                </m:r>
                                <m:ctrlPr>
                                  <w:rPr>
                                    <w:rFonts w:ascii="Cambria Math" w:hAnsi="Cambria Math" w:cs="Calibri"/>
                                    <w:szCs w:val="22"/>
                                  </w:rPr>
                                </m:ctrlPr>
                              </m:e>
                              <m:sub>
                                <m:r>
                                  <w:rPr>
                                    <w:rFonts w:ascii="Cambria Math" w:hAnsi="Cambria Math" w:cs="Calibri"/>
                                    <w:szCs w:val="22"/>
                                  </w:rPr>
                                  <m:t>i</m:t>
                                </m:r>
                              </m:sub>
                            </m:sSub>
                          </m:e>
                        </m:acc>
                        <m:r>
                          <w:rPr>
                            <w:rFonts w:ascii="Cambria Math" w:hAnsi="Cambria Math" w:cs="Calibri"/>
                            <w:szCs w:val="22"/>
                          </w:rPr>
                          <m:t>,</m:t>
                        </m:r>
                        <m:sSub>
                          <m:sSubPr>
                            <m:ctrlPr>
                              <w:rPr>
                                <w:rFonts w:ascii="Cambria Math" w:hAnsi="Cambria Math" w:cs="Calibri"/>
                                <w:i/>
                                <w:szCs w:val="22"/>
                              </w:rPr>
                            </m:ctrlPr>
                          </m:sSubPr>
                          <m:e>
                            <m:r>
                              <w:rPr>
                                <w:rFonts w:ascii="Cambria Math" w:hAnsi="Cambria Math" w:cs="Calibri"/>
                                <w:szCs w:val="22"/>
                              </w:rPr>
                              <m:t>y</m:t>
                            </m:r>
                          </m:e>
                          <m:sub>
                            <m:r>
                              <w:rPr>
                                <w:rFonts w:ascii="Cambria Math" w:hAnsi="Cambria Math" w:cs="Calibri"/>
                                <w:szCs w:val="22"/>
                              </w:rPr>
                              <m:t>i</m:t>
                            </m:r>
                          </m:sub>
                        </m:sSub>
                        <m:ctrlPr>
                          <w:rPr>
                            <w:rFonts w:ascii="Cambria Math" w:hAnsi="Cambria Math" w:cs="Calibri"/>
                            <w:i/>
                            <w:szCs w:val="22"/>
                          </w:rPr>
                        </m:ctrlPr>
                      </m:e>
                    </m:d>
                    <m:ctrlPr>
                      <w:rPr>
                        <w:rFonts w:ascii="Cambria Math" w:hAnsi="Cambria Math" w:cs="Calibri"/>
                        <w:i/>
                        <w:szCs w:val="22"/>
                      </w:rPr>
                    </m:ctrlPr>
                  </m:e>
                </m:nary>
                <m:r>
                  <w:rPr>
                    <w:rFonts w:ascii="Cambria Math" w:hAnsi="Cambria Math" w:cs="Calibri"/>
                    <w:szCs w:val="22"/>
                  </w:rPr>
                  <m:t>+</m:t>
                </m:r>
                <m:nary>
                  <m:naryPr>
                    <m:chr m:val="∑"/>
                    <m:ctrlPr>
                      <w:rPr>
                        <w:rFonts w:ascii="Cambria Math" w:hAnsi="Cambria Math" w:cs="Calibri"/>
                        <w:szCs w:val="22"/>
                      </w:rPr>
                    </m:ctrlPr>
                  </m:naryPr>
                  <m:sub>
                    <m:r>
                      <w:rPr>
                        <w:rFonts w:ascii="Cambria Math" w:hAnsi="Cambria Math" w:cs="Calibri"/>
                        <w:szCs w:val="22"/>
                      </w:rPr>
                      <m:t>k=1</m:t>
                    </m:r>
                    <m:ctrlPr>
                      <w:rPr>
                        <w:rFonts w:ascii="Cambria Math" w:hAnsi="Cambria Math" w:cs="Calibri"/>
                        <w:i/>
                        <w:szCs w:val="22"/>
                      </w:rPr>
                    </m:ctrlPr>
                  </m:sub>
                  <m:sup>
                    <m:r>
                      <w:rPr>
                        <w:rFonts w:ascii="Cambria Math" w:hAnsi="Cambria Math" w:cs="Calibri"/>
                        <w:szCs w:val="22"/>
                      </w:rPr>
                      <m:t>t</m:t>
                    </m:r>
                    <m:ctrlPr>
                      <w:rPr>
                        <w:rFonts w:ascii="Cambria Math" w:hAnsi="Cambria Math" w:cs="Calibri"/>
                        <w:i/>
                        <w:szCs w:val="22"/>
                      </w:rPr>
                    </m:ctrlPr>
                  </m:sup>
                  <m:e>
                    <m:r>
                      <m:rPr>
                        <m:sty m:val="p"/>
                      </m:rPr>
                      <w:rPr>
                        <w:rFonts w:ascii="Cambria Math" w:hAnsi="Cambria Math" w:cs="Calibri"/>
                        <w:szCs w:val="22"/>
                      </w:rPr>
                      <m:t>Ω</m:t>
                    </m:r>
                    <m:d>
                      <m:dPr>
                        <m:ctrlPr>
                          <w:rPr>
                            <w:rFonts w:ascii="Cambria Math" w:hAnsi="Cambria Math" w:cs="Calibri"/>
                            <w:szCs w:val="22"/>
                          </w:rPr>
                        </m:ctrlPr>
                      </m:dPr>
                      <m:e>
                        <m:sSub>
                          <m:sSubPr>
                            <m:ctrlPr>
                              <w:rPr>
                                <w:rFonts w:ascii="Cambria Math" w:hAnsi="Cambria Math" w:cs="Calibri"/>
                                <w:i/>
                                <w:szCs w:val="22"/>
                              </w:rPr>
                            </m:ctrlPr>
                          </m:sSubPr>
                          <m:e>
                            <m:r>
                              <w:rPr>
                                <w:rFonts w:ascii="Cambria Math" w:hAnsi="Cambria Math" w:cs="Calibri"/>
                                <w:szCs w:val="22"/>
                              </w:rPr>
                              <m:t>f</m:t>
                            </m:r>
                            <m:ctrlPr>
                              <w:rPr>
                                <w:rFonts w:ascii="Cambria Math" w:hAnsi="Cambria Math" w:cs="Calibri"/>
                                <w:szCs w:val="22"/>
                              </w:rPr>
                            </m:ctrlPr>
                          </m:e>
                          <m:sub>
                            <m:r>
                              <w:rPr>
                                <w:rFonts w:ascii="Cambria Math" w:hAnsi="Cambria Math" w:cs="Calibri"/>
                                <w:szCs w:val="22"/>
                              </w:rPr>
                              <m:t>i</m:t>
                            </m:r>
                          </m:sub>
                        </m:sSub>
                        <m:ctrlPr>
                          <w:rPr>
                            <w:rFonts w:ascii="Cambria Math" w:hAnsi="Cambria Math" w:cs="Calibri"/>
                            <w:i/>
                            <w:szCs w:val="22"/>
                          </w:rPr>
                        </m:ctrlPr>
                      </m:e>
                    </m:d>
                    <m:ctrlPr>
                      <w:rPr>
                        <w:rFonts w:ascii="Cambria Math" w:hAnsi="Cambria Math" w:cs="Calibri"/>
                        <w:i/>
                        <w:szCs w:val="22"/>
                      </w:rPr>
                    </m:ctrlPr>
                  </m:e>
                </m:nary>
                <m:r>
                  <w:rPr>
                    <w:rFonts w:ascii="Cambria Math" w:hAnsi="Cambria Math" w:cs="Calibri"/>
                    <w:szCs w:val="22"/>
                  </w:rPr>
                  <m:t> </m:t>
                </m:r>
              </m:oMath>
            </m:oMathPara>
            <w:bookmarkEnd w:id="5"/>
          </w:p>
        </w:tc>
        <w:tc>
          <w:tcPr>
            <w:tcW w:w="4532" w:type="dxa"/>
          </w:tcPr>
          <w:p w14:paraId="7F77F040" w14:textId="77777777" w:rsidR="00334D82" w:rsidRPr="0015120D" w:rsidRDefault="00334D82" w:rsidP="0015120D">
            <w:pPr>
              <w:spacing w:after="0" w:line="480" w:lineRule="auto"/>
              <w:jc w:val="both"/>
              <w:rPr>
                <w:rFonts w:hAnsi="Calibri" w:cs="Calibri"/>
                <w:szCs w:val="22"/>
              </w:rPr>
            </w:pPr>
          </w:p>
          <w:p w14:paraId="3748B0D3"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(7)</w:t>
            </w:r>
          </w:p>
        </w:tc>
      </w:tr>
    </w:tbl>
    <w:p w14:paraId="75B7BFD7"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Where, </w:t>
      </w:r>
      <m:oMath>
        <m:r>
          <w:rPr>
            <w:rFonts w:ascii="Cambria Math" w:hAnsi="Cambria Math" w:cs="Calibri"/>
            <w:szCs w:val="22"/>
          </w:rPr>
          <m:t>l</m:t>
        </m:r>
      </m:oMath>
      <w:r w:rsidRPr="0015120D">
        <w:rPr>
          <w:rFonts w:hAnsi="Calibri" w:cs="Calibri"/>
          <w:szCs w:val="22"/>
        </w:rPr>
        <w:t xml:space="preserve"> is the function of loss, n is the count of measured data points used, and regularisation term Ω is calculated as:</w:t>
      </w:r>
    </w:p>
    <w:tbl>
      <w:tblPr>
        <w:tblW w:w="0" w:type="auto"/>
        <w:tblLook w:val="04A0" w:firstRow="1" w:lastRow="0" w:firstColumn="1" w:lastColumn="0" w:noHBand="0" w:noVBand="1"/>
      </w:tblPr>
      <w:tblGrid>
        <w:gridCol w:w="4508"/>
        <w:gridCol w:w="4508"/>
      </w:tblGrid>
      <w:tr w:rsidR="00334D82" w:rsidRPr="0015120D" w14:paraId="4772C0BA" w14:textId="77777777" w:rsidTr="00B342EA">
        <w:trPr>
          <w:trHeight w:val="592"/>
        </w:trPr>
        <w:tc>
          <w:tcPr>
            <w:tcW w:w="4508" w:type="dxa"/>
          </w:tcPr>
          <w:p w14:paraId="25478D86" w14:textId="77777777" w:rsidR="00334D82" w:rsidRPr="0015120D" w:rsidRDefault="00334D82" w:rsidP="0015120D">
            <w:pPr>
              <w:spacing w:after="0" w:line="480" w:lineRule="auto"/>
              <w:jc w:val="both"/>
              <w:rPr>
                <w:rFonts w:hAnsi="Calibri" w:cs="Calibri"/>
                <w:szCs w:val="22"/>
              </w:rPr>
            </w:pPr>
            <m:oMathPara>
              <m:oMathParaPr>
                <m:jc m:val="left"/>
              </m:oMathParaPr>
              <m:oMath>
                <m:r>
                  <m:rPr>
                    <m:sty m:val="p"/>
                  </m:rPr>
                  <w:rPr>
                    <w:rFonts w:ascii="Cambria Math" w:hAnsi="Cambria Math" w:cs="Calibri"/>
                    <w:szCs w:val="22"/>
                  </w:rPr>
                  <m:t>Ω</m:t>
                </m:r>
                <m:d>
                  <m:dPr>
                    <m:ctrlPr>
                      <w:rPr>
                        <w:rFonts w:ascii="Cambria Math" w:hAnsi="Cambria Math" w:cs="Calibri"/>
                        <w:i/>
                        <w:szCs w:val="22"/>
                      </w:rPr>
                    </m:ctrlPr>
                  </m:dPr>
                  <m:e>
                    <m:r>
                      <w:rPr>
                        <w:rFonts w:ascii="Cambria Math" w:hAnsi="Cambria Math" w:cs="Calibri"/>
                        <w:szCs w:val="22"/>
                      </w:rPr>
                      <m:t>f</m:t>
                    </m:r>
                  </m:e>
                </m:d>
                <m:r>
                  <w:rPr>
                    <w:rFonts w:ascii="Cambria Math" w:hAnsi="Cambria Math" w:cs="Calibri"/>
                    <w:szCs w:val="22"/>
                  </w:rPr>
                  <m:t>=</m:t>
                </m:r>
                <m:r>
                  <m:rPr>
                    <m:sty m:val="p"/>
                  </m:rPr>
                  <w:rPr>
                    <w:rFonts w:ascii="Cambria Math" w:hAnsi="Cambria Math" w:cs="Calibri"/>
                    <w:szCs w:val="22"/>
                  </w:rPr>
                  <m:t>ρ</m:t>
                </m:r>
                <m:r>
                  <w:rPr>
                    <w:rFonts w:ascii="Cambria Math" w:hAnsi="Cambria Math" w:cs="Calibri"/>
                    <w:szCs w:val="22"/>
                  </w:rPr>
                  <m:t>T+</m:t>
                </m:r>
                <m:f>
                  <m:fPr>
                    <m:ctrlPr>
                      <w:rPr>
                        <w:rFonts w:ascii="Cambria Math" w:hAnsi="Cambria Math" w:cs="Calibri"/>
                        <w:szCs w:val="22"/>
                      </w:rPr>
                    </m:ctrlPr>
                  </m:fPr>
                  <m:num>
                    <m:r>
                      <w:rPr>
                        <w:rFonts w:ascii="Cambria Math" w:hAnsi="Cambria Math" w:cs="Calibri"/>
                        <w:szCs w:val="22"/>
                      </w:rPr>
                      <m:t>1</m:t>
                    </m:r>
                    <m:ctrlPr>
                      <w:rPr>
                        <w:rFonts w:ascii="Cambria Math" w:hAnsi="Cambria Math" w:cs="Calibri"/>
                        <w:i/>
                        <w:szCs w:val="22"/>
                      </w:rPr>
                    </m:ctrlPr>
                  </m:num>
                  <m:den>
                    <m:r>
                      <w:rPr>
                        <w:rFonts w:ascii="Cambria Math" w:hAnsi="Cambria Math" w:cs="Calibri"/>
                        <w:szCs w:val="22"/>
                      </w:rPr>
                      <m:t>2</m:t>
                    </m:r>
                    <m:ctrlPr>
                      <w:rPr>
                        <w:rFonts w:ascii="Cambria Math" w:hAnsi="Cambria Math" w:cs="Calibri"/>
                        <w:i/>
                        <w:szCs w:val="22"/>
                      </w:rPr>
                    </m:ctrlPr>
                  </m:den>
                </m:f>
                <m:r>
                  <m:rPr>
                    <m:sty m:val="p"/>
                  </m:rPr>
                  <w:rPr>
                    <w:rFonts w:ascii="Cambria Math" w:hAnsi="Cambria Math" w:cs="Calibri"/>
                    <w:szCs w:val="22"/>
                  </w:rPr>
                  <m:t>β</m:t>
                </m:r>
                <m:r>
                  <m:rPr>
                    <m:lit/>
                  </m:rPr>
                  <w:rPr>
                    <w:rFonts w:ascii="Cambria Math" w:hAnsi="Cambria Math" w:cs="Calibri"/>
                    <w:szCs w:val="22"/>
                  </w:rPr>
                  <m:t>|</m:t>
                </m:r>
                <m:r>
                  <m:rPr>
                    <m:sty m:val="p"/>
                  </m:rPr>
                  <w:rPr>
                    <w:rFonts w:ascii="Cambria Math" w:hAnsi="Cambria Math" w:cs="Calibri"/>
                    <w:szCs w:val="22"/>
                  </w:rPr>
                  <m:t>δ</m:t>
                </m:r>
                <m:sSup>
                  <m:sSupPr>
                    <m:ctrlPr>
                      <w:rPr>
                        <w:rFonts w:ascii="Cambria Math" w:hAnsi="Cambria Math" w:cs="Calibri"/>
                        <w:i/>
                        <w:szCs w:val="22"/>
                      </w:rPr>
                    </m:ctrlPr>
                  </m:sSupPr>
                  <m:e>
                    <m:r>
                      <m:rPr>
                        <m:lit/>
                      </m:rPr>
                      <w:rPr>
                        <w:rFonts w:ascii="Cambria Math" w:hAnsi="Cambria Math" w:cs="Calibri"/>
                        <w:szCs w:val="22"/>
                      </w:rPr>
                      <m:t>|</m:t>
                    </m:r>
                  </m:e>
                  <m:sup>
                    <m:r>
                      <w:rPr>
                        <w:rFonts w:ascii="Cambria Math" w:hAnsi="Cambria Math" w:cs="Calibri"/>
                        <w:szCs w:val="22"/>
                      </w:rPr>
                      <m:t>2</m:t>
                    </m:r>
                  </m:sup>
                </m:sSup>
              </m:oMath>
            </m:oMathPara>
          </w:p>
        </w:tc>
        <w:tc>
          <w:tcPr>
            <w:tcW w:w="4508" w:type="dxa"/>
          </w:tcPr>
          <w:p w14:paraId="450D0F3E" w14:textId="77777777" w:rsidR="00334D82" w:rsidRPr="0015120D" w:rsidRDefault="00334D82" w:rsidP="0015120D">
            <w:pPr>
              <w:spacing w:after="0" w:line="480" w:lineRule="auto"/>
              <w:jc w:val="right"/>
              <w:rPr>
                <w:rFonts w:hAnsi="Calibri" w:cs="Calibri"/>
                <w:szCs w:val="22"/>
              </w:rPr>
            </w:pPr>
          </w:p>
          <w:p w14:paraId="210E94E4"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(8)</w:t>
            </w:r>
          </w:p>
        </w:tc>
      </w:tr>
    </w:tbl>
    <w:p w14:paraId="18586781"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Where, the leaves vector score is </w:t>
      </w:r>
      <m:oMath>
        <m:r>
          <w:rPr>
            <w:rFonts w:ascii="Cambria Math" w:hAnsi="Cambria Math" w:cs="Calibri"/>
            <w:szCs w:val="22"/>
          </w:rPr>
          <m:t>δ</m:t>
        </m:r>
      </m:oMath>
      <w:r w:rsidRPr="0015120D">
        <w:rPr>
          <w:rFonts w:hAnsi="Calibri" w:cs="Calibri"/>
          <w:szCs w:val="22"/>
        </w:rPr>
        <w:t xml:space="preserve">, </w:t>
      </w:r>
      <m:oMath>
        <m:r>
          <w:rPr>
            <w:rFonts w:ascii="Cambria Math" w:hAnsi="Cambria Math" w:cs="Calibri"/>
            <w:szCs w:val="22"/>
          </w:rPr>
          <m:t>β</m:t>
        </m:r>
      </m:oMath>
      <w:r w:rsidRPr="0015120D">
        <w:rPr>
          <w:rFonts w:hAnsi="Calibri" w:cs="Calibri"/>
          <w:szCs w:val="22"/>
        </w:rPr>
        <w:t xml:space="preserve"> is the regularisation parameter, and </w:t>
      </w:r>
      <m:oMath>
        <m:r>
          <w:rPr>
            <w:rFonts w:ascii="Cambria Math" w:hAnsi="Cambria Math" w:cs="Calibri"/>
            <w:szCs w:val="22"/>
          </w:rPr>
          <m:t>ρ</m:t>
        </m:r>
      </m:oMath>
      <w:r w:rsidRPr="0015120D">
        <w:rPr>
          <w:rFonts w:hAnsi="Calibri" w:cs="Calibri"/>
          <w:szCs w:val="22"/>
        </w:rPr>
        <w:t xml:space="preserve"> is the minimum loss needed to split the leaf node further. The detailed information and computation procedures can be found in the </w:t>
      </w:r>
      <w:proofErr w:type="spellStart"/>
      <w:r w:rsidRPr="0015120D">
        <w:rPr>
          <w:rFonts w:hAnsi="Calibri" w:cs="Calibri"/>
          <w:szCs w:val="22"/>
        </w:rPr>
        <w:t>XGBoost</w:t>
      </w:r>
      <w:proofErr w:type="spellEnd"/>
      <w:r w:rsidRPr="0015120D">
        <w:rPr>
          <w:rFonts w:hAnsi="Calibri" w:cs="Calibri"/>
          <w:szCs w:val="22"/>
        </w:rPr>
        <w:t xml:space="preserve"> algorithm </w:t>
      </w:r>
      <w:r w:rsidRPr="0015120D">
        <w:rPr>
          <w:rFonts w:hAnsi="Calibri" w:cs="Calibri"/>
          <w:szCs w:val="22"/>
        </w:rPr>
        <w:fldChar w:fldCharType="begin" w:fldLock="1"/>
      </w:r>
      <w:r w:rsidRPr="0015120D">
        <w:rPr>
          <w:rFonts w:hAnsi="Calibri" w:cs="Calibri"/>
          <w:szCs w:val="22"/>
        </w:rPr>
        <w:instrText>ADDIN CSL_CITATION {"citationItems":[{"id":"ITEM-1","itemData":{"author":[{"dropping-particle":"","family":"Chen","given":"T","non-dropping-particle":"","parse-names":false,"suffix":""},{"dropping-particle":"","family":"He","given":"T","non-dropping-particle":"","parse-names":false,"suffix":""},{"dropping-particle":"","family":"Benesty","given":"M","non-dropping-particle":"","parse-names":false,"suffix":""}],"container-title":"cran.fhcrc.org","id":"ITEM-1","issued":{"date-parts":[["2020"]]},"title":"Xgboost: extreme gradient boosting","type":"article-journal"},"uris":["http://www.mendeley.com/documents/?uuid=a62f9307-f4e5-3298-9646-3644d3a75965"]}],"mendeley":{"formattedCitation":"(T Chen et al. 2020)","manualFormatting":"(Chen et al. 2020)","plainTextFormattedCitation":"(T Chen et al. 2020)","previouslyFormattedCitation":"(T Chen et al. 2020)"},"properties":{"noteIndex":0},"schema":"https://github.com/citation-style-language/schema/raw/master/csl-citation.json"}</w:instrText>
      </w:r>
      <w:r w:rsidRPr="0015120D">
        <w:rPr>
          <w:rFonts w:hAnsi="Calibri" w:cs="Calibri"/>
          <w:szCs w:val="22"/>
        </w:rPr>
        <w:fldChar w:fldCharType="separate"/>
      </w:r>
      <w:r w:rsidRPr="0015120D">
        <w:rPr>
          <w:rFonts w:hAnsi="Calibri" w:cs="Calibri"/>
          <w:noProof/>
          <w:szCs w:val="22"/>
        </w:rPr>
        <w:t>(Chen et al. 2020)</w:t>
      </w:r>
      <w:r w:rsidRPr="0015120D">
        <w:rPr>
          <w:rFonts w:hAnsi="Calibri" w:cs="Calibri"/>
          <w:szCs w:val="22"/>
        </w:rPr>
        <w:fldChar w:fldCharType="end"/>
      </w:r>
      <w:r w:rsidRPr="0015120D">
        <w:rPr>
          <w:rFonts w:hAnsi="Calibri" w:cs="Calibri"/>
          <w:szCs w:val="22"/>
        </w:rPr>
        <w:t>.</w:t>
      </w:r>
    </w:p>
    <w:p w14:paraId="580DC230" w14:textId="43BD9B5B" w:rsidR="00334D82" w:rsidRPr="0015120D" w:rsidRDefault="0015120D" w:rsidP="0015120D">
      <w:pPr>
        <w:spacing w:line="480" w:lineRule="auto"/>
        <w:jc w:val="both"/>
        <w:rPr>
          <w:rFonts w:hAnsi="Calibri" w:cs="Calibri"/>
          <w:b/>
          <w:bCs/>
          <w:szCs w:val="22"/>
          <w:lang w:val="en-US"/>
        </w:rPr>
      </w:pPr>
      <w:r w:rsidRPr="0015120D">
        <w:rPr>
          <w:rFonts w:hAnsi="Calibri" w:cs="Calibri"/>
          <w:b/>
          <w:bCs/>
          <w:szCs w:val="22"/>
          <w:lang w:val="en-US"/>
        </w:rPr>
        <w:t>3.3 RANDOM FOREST (RF)</w:t>
      </w:r>
      <w:r>
        <w:rPr>
          <w:rFonts w:hAnsi="Calibri" w:cs="Calibri"/>
          <w:b/>
          <w:bCs/>
          <w:szCs w:val="22"/>
          <w:lang w:val="en-US"/>
        </w:rPr>
        <w:t>:</w:t>
      </w:r>
    </w:p>
    <w:p w14:paraId="22DF9B4F" w14:textId="77777777" w:rsidR="00334D82" w:rsidRPr="0015120D" w:rsidRDefault="00334D82" w:rsidP="0015120D">
      <w:pPr>
        <w:spacing w:line="480" w:lineRule="auto"/>
        <w:jc w:val="both"/>
        <w:rPr>
          <w:rFonts w:hAnsi="Calibri" w:cs="Calibri"/>
          <w:b/>
          <w:bCs/>
          <w:szCs w:val="22"/>
          <w:lang w:val="en-US"/>
        </w:rPr>
      </w:pPr>
      <w:r w:rsidRPr="0015120D">
        <w:rPr>
          <w:rFonts w:hAnsi="Calibri" w:cs="Calibri"/>
          <w:szCs w:val="22"/>
        </w:rPr>
        <w:t xml:space="preserve">RF is a training algorithm built on the concept that a combination of entity framework classifications is more reliable than a class </w:t>
      </w:r>
      <w:r w:rsidRPr="0015120D">
        <w:rPr>
          <w:rFonts w:hAnsi="Calibri" w:cs="Calibri"/>
          <w:szCs w:val="22"/>
        </w:rPr>
        <w:fldChar w:fldCharType="begin" w:fldLock="1"/>
      </w:r>
      <w:r w:rsidRPr="0015120D">
        <w:rPr>
          <w:rFonts w:hAnsi="Calibri" w:cs="Calibri"/>
          <w:szCs w:val="22"/>
        </w:rPr>
        <w:instrText>ADDIN CSL_CITATION {"citationItems":[{"id":"ITEM-1","itemData":{"DOI":"10.1201/9780367816377-11","ISBN":"9783110941975","abstract":"The role of probabilistic methods in discrete mathematics cannot be overestimated. By defining the probability measure on a set of the studied combinatorial objects various numerical characteristics of these objects can be considered as random variables and studied using the methods of probability theory. The advantage of this approach is the well-developed probabilistic analytic techniques that allow us in many cases to obtain results, the proof of which by other methods appears too complicated, if indeed it is at all possible. The application of probabilistic methods is connected with extensive use of the terminology of probability theory. The reader will easily understand however that one speaks in fact about solving enumerative problems of discrete analysis. One of the primary research lines is the study of the limit properties of combinatorial objects manifested at the unlimited increase of the number of elements comprising such objects. It is often possible to represent the distributions of the characteristics of combinatorial objects as conditional distributions of the sums of independent random variables so that they can be studied using asymptotic methods in probability theory, namely limit theorems for sums of independent random variables.","author":[{"dropping-particle":"","family":"Beriman","given":"Leo","non-dropping-particle":"","parse-names":false,"suffix":""}],"container-title":"Random Forests","id":"ITEM-1","issued":{"date-parts":[["2001"]]},"page":"5-32","title":"Random forests","type":"article-journal","volume":"45"},"uris":["http://www.mendeley.com/documents/?uuid=d9b06bfb-ffc4-4087-8dd2-1d16c90dae4d"]}],"mendeley":{"formattedCitation":"(Beriman 2001)","plainTextFormattedCitation":"(Beriman 2001)","previouslyFormattedCitation":"(Beriman 2001)"},"properties":{"noteIndex":0},"schema":"https://github.com/citation-style-language/schema/raw/master/csl-citation.json"}</w:instrText>
      </w:r>
      <w:r w:rsidRPr="0015120D">
        <w:rPr>
          <w:rFonts w:hAnsi="Calibri" w:cs="Calibri"/>
          <w:szCs w:val="22"/>
        </w:rPr>
        <w:fldChar w:fldCharType="separate"/>
      </w:r>
      <w:r w:rsidRPr="0015120D">
        <w:rPr>
          <w:rFonts w:hAnsi="Calibri" w:cs="Calibri"/>
          <w:noProof/>
          <w:szCs w:val="22"/>
        </w:rPr>
        <w:t>(Beriman 2001)</w:t>
      </w:r>
      <w:r w:rsidRPr="0015120D">
        <w:rPr>
          <w:rFonts w:hAnsi="Calibri" w:cs="Calibri"/>
          <w:szCs w:val="22"/>
        </w:rPr>
        <w:fldChar w:fldCharType="end"/>
      </w:r>
      <w:r w:rsidRPr="0015120D">
        <w:rPr>
          <w:rFonts w:hAnsi="Calibri" w:cs="Calibri"/>
          <w:szCs w:val="22"/>
        </w:rPr>
        <w:t xml:space="preserve">. The bootstrap component means that an arbitrarily sampled set of findings replacing the training data is used to parameterise each tree </w:t>
      </w:r>
      <w:r w:rsidRPr="0015120D">
        <w:rPr>
          <w:rFonts w:hAnsi="Calibri" w:cs="Calibri"/>
          <w:szCs w:val="22"/>
        </w:rPr>
        <w:fldChar w:fldCharType="begin" w:fldLock="1"/>
      </w:r>
      <w:r w:rsidRPr="0015120D">
        <w:rPr>
          <w:rFonts w:hAnsi="Calibri" w:cs="Calibri"/>
          <w:szCs w:val="22"/>
        </w:rPr>
        <w:instrText>ADDIN CSL_CITATION {"citationItems":[{"id":"ITEM-1","itemData":{"DOI":"10.1007/b94608_5","abstract":"No Abstract available for this chapter.","author":[{"dropping-particle":"","family":"Hastie","given":"Trevor","non-dropping-particle":"","parse-names":false,"suffix":""},{"dropping-particle":"","family":"Tibshirani","given":"Robert","non-dropping-particle":"","parse-names":false,"suffix":""},{"dropping-particle":"","family":"Friedman","given":"Jerome","non-dropping-particle":"","parse-names":false,"suffix":""}],"id":"ITEM-1","issued":{"date-parts":[["2009"]]},"page":"1-51","title":"Basis Expansions and Regularization","type":"chapter"},"uris":["http://www.mendeley.com/documents/?uuid=649aeb9c-8f75-3e75-9dd2-15076100ec47"]}],"mendeley":{"formattedCitation":"(Hastie et al. 2009)","plainTextFormattedCitation":"(Hastie et al. 2009)","previouslyFormattedCitation":"(Hastie et al. 2009)"},"properties":{"noteIndex":0},"schema":"https://github.com/citation-style-language/schema/raw/master/csl-citation.json"}</w:instrText>
      </w:r>
      <w:r w:rsidRPr="0015120D">
        <w:rPr>
          <w:rFonts w:hAnsi="Calibri" w:cs="Calibri"/>
          <w:szCs w:val="22"/>
        </w:rPr>
        <w:fldChar w:fldCharType="separate"/>
      </w:r>
      <w:r w:rsidRPr="0015120D">
        <w:rPr>
          <w:rFonts w:hAnsi="Calibri" w:cs="Calibri"/>
          <w:noProof/>
          <w:szCs w:val="22"/>
        </w:rPr>
        <w:t>(Hastie et al. 2009)</w:t>
      </w:r>
      <w:r w:rsidRPr="0015120D">
        <w:rPr>
          <w:rFonts w:hAnsi="Calibri" w:cs="Calibri"/>
          <w:szCs w:val="22"/>
        </w:rPr>
        <w:fldChar w:fldCharType="end"/>
      </w:r>
      <w:r w:rsidRPr="0015120D">
        <w:rPr>
          <w:rFonts w:hAnsi="Calibri" w:cs="Calibri"/>
          <w:noProof/>
          <w:szCs w:val="22"/>
        </w:rPr>
        <w:t>.</w:t>
      </w:r>
      <w:r w:rsidRPr="0015120D">
        <w:rPr>
          <w:rFonts w:hAnsi="Calibri" w:cs="Calibri"/>
          <w:szCs w:val="22"/>
        </w:rPr>
        <w:t xml:space="preserve"> It helps decorate the trees and thus reduces the number of columns. In the assessment referred to as "out bag samples," the proportion of observation not used for this effect is included. Many of these decision tree models are developed into different groups in input variables, and the result is a majority vote unweighted </w:t>
      </w:r>
      <w:r w:rsidRPr="0015120D">
        <w:rPr>
          <w:rFonts w:hAnsi="Calibri" w:cs="Calibri"/>
          <w:szCs w:val="22"/>
        </w:rPr>
        <w:lastRenderedPageBreak/>
        <w:t xml:space="preserve">of each class, combined in all trees </w:t>
      </w:r>
      <w:r w:rsidRPr="0015120D">
        <w:rPr>
          <w:rFonts w:hAnsi="Calibri" w:cs="Calibri"/>
          <w:szCs w:val="22"/>
        </w:rPr>
        <w:fldChar w:fldCharType="begin" w:fldLock="1"/>
      </w:r>
      <w:r w:rsidRPr="0015120D">
        <w:rPr>
          <w:rFonts w:hAnsi="Calibri" w:cs="Calibri"/>
          <w:szCs w:val="22"/>
        </w:rPr>
        <w:instrText>ADDIN CSL_CITATION {"citationItems":[{"id":"ITEM-1","itemData":{"DOI":"10.1201/9780367816377-11","ISBN":"9783110941975","abstract":"The role of probabilistic methods in discrete mathematics cannot be overestimated. By defining the probability measure on a set of the studied combinatorial objects various numerical characteristics of these objects can be considered as random variables and studied using the methods of probability theory. The advantage of this approach is the well-developed probabilistic analytic techniques that allow us in many cases to obtain results, the proof of which by other methods appears too complicated, if indeed it is at all possible. The application of probabilistic methods is connected with extensive use of the terminology of probability theory. The reader will easily understand however that one speaks in fact about solving enumerative problems of discrete analysis. One of the primary research lines is the study of the limit properties of combinatorial objects manifested at the unlimited increase of the number of elements comprising such objects. It is often possible to represent the distributions of the characteristics of combinatorial objects as conditional distributions of the sums of independent random variables so that they can be studied using asymptotic methods in probability theory, namely limit theorems for sums of independent random variables.","author":[{"dropping-particle":"","family":"Beriman","given":"Leo","non-dropping-particle":"","parse-names":false,"suffix":""}],"container-title":"Random Forests","id":"ITEM-1","issued":{"date-parts":[["2001"]]},"page":"5-32","title":"Random forests","type":"article-journal","volume":"45"},"uris":["http://www.mendeley.com/documents/?uuid=d9b06bfb-ffc4-4087-8dd2-1d16c90dae4d"]}],"mendeley":{"formattedCitation":"(Beriman 2001)","plainTextFormattedCitation":"(Beriman 2001)","previouslyFormattedCitation":"(Beriman 2001)"},"properties":{"noteIndex":0},"schema":"https://github.com/citation-style-language/schema/raw/master/csl-citation.json"}</w:instrText>
      </w:r>
      <w:r w:rsidRPr="0015120D">
        <w:rPr>
          <w:rFonts w:hAnsi="Calibri" w:cs="Calibri"/>
          <w:szCs w:val="22"/>
        </w:rPr>
        <w:fldChar w:fldCharType="separate"/>
      </w:r>
      <w:r w:rsidRPr="0015120D">
        <w:rPr>
          <w:rFonts w:hAnsi="Calibri" w:cs="Calibri"/>
          <w:noProof/>
          <w:szCs w:val="22"/>
        </w:rPr>
        <w:t>(Beriman 2001)</w:t>
      </w:r>
      <w:r w:rsidRPr="0015120D">
        <w:rPr>
          <w:rFonts w:hAnsi="Calibri" w:cs="Calibri"/>
          <w:szCs w:val="22"/>
        </w:rPr>
        <w:fldChar w:fldCharType="end"/>
      </w:r>
      <w:r w:rsidRPr="0015120D">
        <w:rPr>
          <w:rFonts w:hAnsi="Calibri" w:cs="Calibri"/>
          <w:szCs w:val="22"/>
        </w:rPr>
        <w:t>, which provides a detailed description of RF mathematics.</w:t>
      </w:r>
    </w:p>
    <w:p w14:paraId="7755E071" w14:textId="77777777" w:rsidR="00334D82" w:rsidRPr="0015120D" w:rsidRDefault="00334D82" w:rsidP="0015120D">
      <w:pPr>
        <w:pStyle w:val="NormalWeb"/>
        <w:spacing w:before="0" w:beforeAutospacing="0" w:after="0" w:afterAutospacing="0" w:line="480" w:lineRule="auto"/>
        <w:jc w:val="both"/>
        <w:rPr>
          <w:rFonts w:ascii="Calibri" w:hAnsi="Calibri" w:cs="Calibri"/>
          <w:sz w:val="22"/>
          <w:szCs w:val="22"/>
        </w:rPr>
      </w:pPr>
      <w:r w:rsidRPr="0015120D">
        <w:rPr>
          <w:rFonts w:ascii="Calibri" w:hAnsi="Calibri" w:cs="Calibri"/>
          <w:sz w:val="22"/>
          <w:szCs w:val="22"/>
        </w:rPr>
        <w:t>The Gini Index is used as an attribute selection measure by the random forest classification, which tests the impurity of a class attribute. For a given training set T, selecting one case (pixel) at random and saying that it belongs to some class Mi, the Gini index can be written as:</w:t>
      </w:r>
    </w:p>
    <w:tbl>
      <w:tblPr>
        <w:tblW w:w="0" w:type="auto"/>
        <w:tblLook w:val="04A0" w:firstRow="1" w:lastRow="0" w:firstColumn="1" w:lastColumn="0" w:noHBand="0" w:noVBand="1"/>
      </w:tblPr>
      <w:tblGrid>
        <w:gridCol w:w="4508"/>
        <w:gridCol w:w="4508"/>
      </w:tblGrid>
      <w:tr w:rsidR="00334D82" w:rsidRPr="0015120D" w14:paraId="1889E505" w14:textId="77777777" w:rsidTr="00B342EA">
        <w:tc>
          <w:tcPr>
            <w:tcW w:w="4508" w:type="dxa"/>
          </w:tcPr>
          <w:p w14:paraId="3490387A" w14:textId="77777777" w:rsidR="00334D82" w:rsidRPr="0015120D" w:rsidRDefault="00000000" w:rsidP="0015120D">
            <w:pPr>
              <w:pStyle w:val="NormalWeb"/>
              <w:spacing w:before="0" w:beforeAutospacing="0" w:after="0" w:afterAutospacing="0" w:line="480" w:lineRule="auto"/>
              <w:jc w:val="both"/>
              <w:rPr>
                <w:rFonts w:ascii="Calibri" w:hAnsi="Calibri" w:cs="Calibri"/>
                <w:sz w:val="22"/>
                <w:szCs w:val="22"/>
              </w:rPr>
            </w:pPr>
            <m:oMathPara>
              <m:oMath>
                <m:nary>
                  <m:naryPr>
                    <m:chr m:val="∑"/>
                    <m:subHide m:val="1"/>
                    <m:supHide m:val="1"/>
                    <m:ctrlPr>
                      <w:rPr>
                        <w:rFonts w:ascii="Cambria Math" w:hAnsi="Cambria Math" w:cs="Calibri"/>
                        <w:sz w:val="22"/>
                        <w:szCs w:val="22"/>
                      </w:rPr>
                    </m:ctrlPr>
                  </m:naryPr>
                  <m:sub>
                    <m:ctrlPr>
                      <w:rPr>
                        <w:rFonts w:ascii="Cambria Math" w:hAnsi="Cambria Math" w:cs="Calibri"/>
                        <w:i/>
                        <w:sz w:val="22"/>
                        <w:szCs w:val="22"/>
                      </w:rPr>
                    </m:ctrlPr>
                  </m:sub>
                  <m:sup>
                    <m:ctrlPr>
                      <w:rPr>
                        <w:rFonts w:ascii="Cambria Math" w:hAnsi="Cambria Math" w:cs="Calibri"/>
                        <w:i/>
                        <w:sz w:val="22"/>
                        <w:szCs w:val="22"/>
                      </w:rPr>
                    </m:ctrlPr>
                  </m:sup>
                  <m:e>
                    <m:r>
                      <w:rPr>
                        <w:rFonts w:ascii="Cambria Math" w:hAnsi="Cambria Math" w:cs="Calibri"/>
                        <w:sz w:val="22"/>
                        <w:szCs w:val="22"/>
                      </w:rPr>
                      <m:t xml:space="preserve"> </m:t>
                    </m:r>
                    <m:ctrlPr>
                      <w:rPr>
                        <w:rFonts w:ascii="Cambria Math" w:hAnsi="Cambria Math" w:cs="Calibri"/>
                        <w:i/>
                        <w:sz w:val="22"/>
                        <w:szCs w:val="22"/>
                      </w:rPr>
                    </m:ctrlPr>
                  </m:e>
                </m:nary>
                <m:r>
                  <w:rPr>
                    <w:rFonts w:ascii="Cambria Math" w:hAnsi="Cambria Math" w:cs="Calibri"/>
                    <w:sz w:val="22"/>
                    <w:szCs w:val="22"/>
                  </w:rPr>
                  <m:t> </m:t>
                </m:r>
                <m:nary>
                  <m:naryPr>
                    <m:chr m:val="∑"/>
                    <m:supHide m:val="1"/>
                    <m:ctrlPr>
                      <w:rPr>
                        <w:rFonts w:ascii="Cambria Math" w:hAnsi="Cambria Math" w:cs="Calibri"/>
                        <w:sz w:val="22"/>
                        <w:szCs w:val="22"/>
                      </w:rPr>
                    </m:ctrlPr>
                  </m:naryPr>
                  <m:sub>
                    <m:r>
                      <m:rPr>
                        <m:sty m:val="p"/>
                      </m:rPr>
                      <w:rPr>
                        <w:rFonts w:ascii="Cambria Math" w:hAnsi="Cambria Math" w:cs="Calibri"/>
                        <w:sz w:val="22"/>
                        <w:szCs w:val="22"/>
                      </w:rPr>
                      <m:t>j</m:t>
                    </m:r>
                    <m:r>
                      <w:rPr>
                        <w:rFonts w:ascii="Cambria Math" w:hAnsi="Cambria Math" w:cs="Calibri"/>
                        <w:sz w:val="22"/>
                        <w:szCs w:val="22"/>
                      </w:rPr>
                      <m:t> </m:t>
                    </m:r>
                    <m:r>
                      <m:rPr>
                        <m:sty m:val="p"/>
                      </m:rPr>
                      <w:rPr>
                        <w:rFonts w:ascii="Cambria Math" w:hAnsi="Cambria Math" w:cs="Calibri"/>
                        <w:sz w:val="22"/>
                        <w:szCs w:val="22"/>
                      </w:rPr>
                      <m:t>≠</m:t>
                    </m:r>
                    <m:r>
                      <w:rPr>
                        <w:rFonts w:ascii="Cambria Math" w:hAnsi="Cambria Math" w:cs="Calibri"/>
                        <w:sz w:val="22"/>
                        <w:szCs w:val="22"/>
                      </w:rPr>
                      <m:t> </m:t>
                    </m:r>
                    <m:r>
                      <m:rPr>
                        <m:sty m:val="p"/>
                      </m:rPr>
                      <w:rPr>
                        <w:rFonts w:ascii="Cambria Math" w:hAnsi="Cambria Math" w:cs="Calibri"/>
                        <w:sz w:val="22"/>
                        <w:szCs w:val="22"/>
                      </w:rPr>
                      <m:t>i</m:t>
                    </m:r>
                    <m:ctrlPr>
                      <w:rPr>
                        <w:rFonts w:ascii="Cambria Math" w:hAnsi="Cambria Math" w:cs="Calibri"/>
                        <w:i/>
                        <w:sz w:val="22"/>
                        <w:szCs w:val="22"/>
                      </w:rPr>
                    </m:ctrlPr>
                  </m:sub>
                  <m:sup/>
                  <m:e>
                    <m:d>
                      <m:dPr>
                        <m:ctrlPr>
                          <w:rPr>
                            <w:rFonts w:ascii="Cambria Math" w:hAnsi="Cambria Math" w:cs="Calibri"/>
                            <w:i/>
                            <w:sz w:val="22"/>
                            <w:szCs w:val="22"/>
                          </w:rPr>
                        </m:ctrlPr>
                      </m:dPr>
                      <m:e>
                        <m:r>
                          <m:rPr>
                            <m:sty m:val="p"/>
                          </m:rPr>
                          <w:rPr>
                            <w:rFonts w:ascii="Cambria Math" w:hAnsi="Cambria Math" w:cs="Calibri"/>
                            <w:sz w:val="22"/>
                            <w:szCs w:val="22"/>
                          </w:rPr>
                          <m:t>f</m:t>
                        </m:r>
                        <m:d>
                          <m:dPr>
                            <m:ctrlPr>
                              <w:rPr>
                                <w:rFonts w:ascii="Cambria Math" w:hAnsi="Cambria Math" w:cs="Calibri"/>
                                <w:sz w:val="22"/>
                                <w:szCs w:val="22"/>
                              </w:rPr>
                            </m:ctrlPr>
                          </m:dPr>
                          <m:e>
                            <m:sSub>
                              <m:sSubPr>
                                <m:ctrlPr>
                                  <w:rPr>
                                    <w:rFonts w:ascii="Cambria Math" w:hAnsi="Cambria Math" w:cs="Calibri"/>
                                    <w:i/>
                                    <w:sz w:val="22"/>
                                    <w:szCs w:val="22"/>
                                  </w:rPr>
                                </m:ctrlPr>
                              </m:sSubPr>
                              <m:e>
                                <m:r>
                                  <m:rPr>
                                    <m:sty m:val="p"/>
                                  </m:rPr>
                                  <w:rPr>
                                    <w:rFonts w:ascii="Cambria Math" w:hAnsi="Cambria Math" w:cs="Calibri"/>
                                    <w:sz w:val="22"/>
                                    <w:szCs w:val="22"/>
                                  </w:rPr>
                                  <m:t>M</m:t>
                                </m:r>
                                <m:ctrlPr>
                                  <w:rPr>
                                    <w:rFonts w:ascii="Cambria Math" w:hAnsi="Cambria Math" w:cs="Calibri"/>
                                    <w:sz w:val="22"/>
                                    <w:szCs w:val="22"/>
                                  </w:rPr>
                                </m:ctrlPr>
                              </m:e>
                              <m:sub>
                                <m:r>
                                  <m:rPr>
                                    <m:sty m:val="p"/>
                                  </m:rPr>
                                  <w:rPr>
                                    <w:rFonts w:ascii="Cambria Math" w:hAnsi="Cambria Math" w:cs="Calibri"/>
                                    <w:sz w:val="22"/>
                                    <w:szCs w:val="22"/>
                                  </w:rPr>
                                  <m:t>i</m:t>
                                </m:r>
                              </m:sub>
                            </m:sSub>
                            <m:r>
                              <w:rPr>
                                <w:rFonts w:ascii="Cambria Math" w:hAnsi="Cambria Math" w:cs="Calibri"/>
                                <w:sz w:val="22"/>
                                <w:szCs w:val="22"/>
                              </w:rPr>
                              <m:t>, </m:t>
                            </m:r>
                            <m:r>
                              <m:rPr>
                                <m:sty m:val="p"/>
                              </m:rPr>
                              <w:rPr>
                                <w:rFonts w:ascii="Cambria Math" w:hAnsi="Cambria Math" w:cs="Calibri"/>
                                <w:sz w:val="22"/>
                                <w:szCs w:val="22"/>
                              </w:rPr>
                              <m:t>Q</m:t>
                            </m:r>
                            <m:ctrlPr>
                              <w:rPr>
                                <w:rFonts w:ascii="Cambria Math" w:hAnsi="Cambria Math" w:cs="Calibri"/>
                                <w:i/>
                                <w:sz w:val="22"/>
                                <w:szCs w:val="22"/>
                              </w:rPr>
                            </m:ctrlPr>
                          </m:e>
                        </m:d>
                        <m:r>
                          <w:rPr>
                            <w:rFonts w:ascii="Cambria Math" w:hAnsi="Cambria Math" w:cs="Calibri"/>
                            <w:sz w:val="22"/>
                            <w:szCs w:val="22"/>
                          </w:rPr>
                          <m:t> </m:t>
                        </m:r>
                        <m:r>
                          <m:rPr>
                            <m:lit/>
                          </m:rPr>
                          <w:rPr>
                            <w:rFonts w:ascii="Cambria Math" w:hAnsi="Cambria Math" w:cs="Calibri"/>
                            <w:sz w:val="22"/>
                            <w:szCs w:val="22"/>
                          </w:rPr>
                          <m:t>/</m:t>
                        </m:r>
                        <m:d>
                          <m:dPr>
                            <m:begChr m:val="|"/>
                            <m:endChr m:val="|"/>
                            <m:ctrlPr>
                              <w:rPr>
                                <w:rFonts w:ascii="Cambria Math" w:hAnsi="Cambria Math" w:cs="Calibri"/>
                                <w:i/>
                                <w:sz w:val="22"/>
                                <w:szCs w:val="22"/>
                              </w:rPr>
                            </m:ctrlPr>
                          </m:dPr>
                          <m:e>
                            <m:r>
                              <m:rPr>
                                <m:sty m:val="p"/>
                              </m:rPr>
                              <w:rPr>
                                <w:rFonts w:ascii="Cambria Math" w:hAnsi="Cambria Math" w:cs="Calibri"/>
                                <w:sz w:val="22"/>
                                <w:szCs w:val="22"/>
                              </w:rPr>
                              <m:t>Q</m:t>
                            </m:r>
                          </m:e>
                        </m:d>
                      </m:e>
                    </m:d>
                    <m:d>
                      <m:dPr>
                        <m:ctrlPr>
                          <w:rPr>
                            <w:rFonts w:ascii="Cambria Math" w:hAnsi="Cambria Math" w:cs="Calibri"/>
                            <w:sz w:val="22"/>
                            <w:szCs w:val="22"/>
                          </w:rPr>
                        </m:ctrlPr>
                      </m:dPr>
                      <m:e>
                        <m:r>
                          <m:rPr>
                            <m:sty m:val="p"/>
                          </m:rPr>
                          <w:rPr>
                            <w:rFonts w:ascii="Cambria Math" w:hAnsi="Cambria Math" w:cs="Calibri"/>
                            <w:sz w:val="22"/>
                            <w:szCs w:val="22"/>
                          </w:rPr>
                          <m:t>f</m:t>
                        </m:r>
                        <m:d>
                          <m:dPr>
                            <m:ctrlPr>
                              <w:rPr>
                                <w:rFonts w:ascii="Cambria Math" w:hAnsi="Cambria Math" w:cs="Calibri"/>
                                <w:sz w:val="22"/>
                                <w:szCs w:val="22"/>
                              </w:rPr>
                            </m:ctrlPr>
                          </m:dPr>
                          <m:e>
                            <m:sSub>
                              <m:sSubPr>
                                <m:ctrlPr>
                                  <w:rPr>
                                    <w:rFonts w:ascii="Cambria Math" w:hAnsi="Cambria Math" w:cs="Calibri"/>
                                    <w:i/>
                                    <w:sz w:val="22"/>
                                    <w:szCs w:val="22"/>
                                  </w:rPr>
                                </m:ctrlPr>
                              </m:sSubPr>
                              <m:e>
                                <m:r>
                                  <m:rPr>
                                    <m:sty m:val="p"/>
                                  </m:rPr>
                                  <w:rPr>
                                    <w:rFonts w:ascii="Cambria Math" w:hAnsi="Cambria Math" w:cs="Calibri"/>
                                    <w:sz w:val="22"/>
                                    <w:szCs w:val="22"/>
                                  </w:rPr>
                                  <m:t>M</m:t>
                                </m:r>
                                <m:ctrlPr>
                                  <w:rPr>
                                    <w:rFonts w:ascii="Cambria Math" w:hAnsi="Cambria Math" w:cs="Calibri"/>
                                    <w:sz w:val="22"/>
                                    <w:szCs w:val="22"/>
                                  </w:rPr>
                                </m:ctrlPr>
                              </m:e>
                              <m:sub>
                                <m:r>
                                  <m:rPr>
                                    <m:sty m:val="p"/>
                                  </m:rPr>
                                  <w:rPr>
                                    <w:rFonts w:ascii="Cambria Math" w:hAnsi="Cambria Math" w:cs="Calibri"/>
                                    <w:sz w:val="22"/>
                                    <w:szCs w:val="22"/>
                                  </w:rPr>
                                  <m:t>j</m:t>
                                </m:r>
                              </m:sub>
                            </m:sSub>
                            <m:r>
                              <w:rPr>
                                <w:rFonts w:ascii="Cambria Math" w:hAnsi="Cambria Math" w:cs="Calibri"/>
                                <w:sz w:val="22"/>
                                <w:szCs w:val="22"/>
                              </w:rPr>
                              <m:t>, </m:t>
                            </m:r>
                            <m:r>
                              <m:rPr>
                                <m:sty m:val="p"/>
                              </m:rPr>
                              <w:rPr>
                                <w:rFonts w:ascii="Cambria Math" w:hAnsi="Cambria Math" w:cs="Calibri"/>
                                <w:sz w:val="22"/>
                                <w:szCs w:val="22"/>
                              </w:rPr>
                              <m:t>Q</m:t>
                            </m:r>
                            <m:ctrlPr>
                              <w:rPr>
                                <w:rFonts w:ascii="Cambria Math" w:hAnsi="Cambria Math" w:cs="Calibri"/>
                                <w:i/>
                                <w:sz w:val="22"/>
                                <w:szCs w:val="22"/>
                              </w:rPr>
                            </m:ctrlPr>
                          </m:e>
                        </m:d>
                        <m:r>
                          <w:rPr>
                            <w:rFonts w:ascii="Cambria Math" w:hAnsi="Cambria Math" w:cs="Calibri"/>
                            <w:sz w:val="22"/>
                            <w:szCs w:val="22"/>
                          </w:rPr>
                          <m:t> </m:t>
                        </m:r>
                        <m:r>
                          <m:rPr>
                            <m:lit/>
                          </m:rPr>
                          <w:rPr>
                            <w:rFonts w:ascii="Cambria Math" w:hAnsi="Cambria Math" w:cs="Calibri"/>
                            <w:sz w:val="22"/>
                            <w:szCs w:val="22"/>
                          </w:rPr>
                          <m:t>/</m:t>
                        </m:r>
                        <m:d>
                          <m:dPr>
                            <m:begChr m:val="|"/>
                            <m:endChr m:val="|"/>
                            <m:ctrlPr>
                              <w:rPr>
                                <w:rFonts w:ascii="Cambria Math" w:hAnsi="Cambria Math" w:cs="Calibri"/>
                                <w:i/>
                                <w:sz w:val="22"/>
                                <w:szCs w:val="22"/>
                              </w:rPr>
                            </m:ctrlPr>
                          </m:dPr>
                          <m:e>
                            <m:r>
                              <m:rPr>
                                <m:sty m:val="p"/>
                              </m:rPr>
                              <w:rPr>
                                <w:rFonts w:ascii="Cambria Math" w:hAnsi="Cambria Math" w:cs="Calibri"/>
                                <w:sz w:val="22"/>
                                <w:szCs w:val="22"/>
                              </w:rPr>
                              <m:t>Q</m:t>
                            </m:r>
                          </m:e>
                        </m:d>
                        <m:ctrlPr>
                          <w:rPr>
                            <w:rFonts w:ascii="Cambria Math" w:hAnsi="Cambria Math" w:cs="Calibri"/>
                            <w:i/>
                            <w:sz w:val="22"/>
                            <w:szCs w:val="22"/>
                          </w:rPr>
                        </m:ctrlPr>
                      </m:e>
                    </m:d>
                  </m:e>
                </m:nary>
              </m:oMath>
            </m:oMathPara>
          </w:p>
        </w:tc>
        <w:tc>
          <w:tcPr>
            <w:tcW w:w="4508" w:type="dxa"/>
          </w:tcPr>
          <w:p w14:paraId="1BD369AD" w14:textId="77777777" w:rsidR="00334D82" w:rsidRPr="0015120D" w:rsidRDefault="00334D82" w:rsidP="0015120D">
            <w:pPr>
              <w:pStyle w:val="NormalWeb"/>
              <w:spacing w:before="0" w:beforeAutospacing="0" w:after="0" w:afterAutospacing="0" w:line="480" w:lineRule="auto"/>
              <w:jc w:val="right"/>
              <w:rPr>
                <w:rFonts w:ascii="Calibri" w:hAnsi="Calibri" w:cs="Calibri"/>
                <w:sz w:val="22"/>
                <w:szCs w:val="22"/>
              </w:rPr>
            </w:pPr>
            <w:r w:rsidRPr="0015120D">
              <w:rPr>
                <w:rFonts w:ascii="Calibri" w:hAnsi="Calibri" w:cs="Calibri"/>
                <w:sz w:val="22"/>
                <w:szCs w:val="22"/>
              </w:rPr>
              <w:t>(9)</w:t>
            </w:r>
          </w:p>
        </w:tc>
      </w:tr>
    </w:tbl>
    <w:p w14:paraId="7D23BC1E" w14:textId="77777777" w:rsidR="00334D82" w:rsidRPr="0015120D" w:rsidRDefault="00334D82" w:rsidP="0015120D">
      <w:pPr>
        <w:pStyle w:val="NormalWeb"/>
        <w:spacing w:before="0" w:beforeAutospacing="0" w:after="0" w:afterAutospacing="0" w:line="480" w:lineRule="auto"/>
        <w:jc w:val="both"/>
        <w:rPr>
          <w:rFonts w:ascii="Calibri" w:hAnsi="Calibri" w:cs="Calibri"/>
          <w:sz w:val="22"/>
          <w:szCs w:val="22"/>
        </w:rPr>
      </w:pPr>
      <w:r w:rsidRPr="0015120D">
        <w:rPr>
          <w:rFonts w:ascii="Calibri" w:hAnsi="Calibri" w:cs="Calibri"/>
          <w:sz w:val="22"/>
          <w:szCs w:val="22"/>
        </w:rPr>
        <w:t>Where, f (</w:t>
      </w:r>
      <w:proofErr w:type="gramStart"/>
      <w:r w:rsidRPr="0015120D">
        <w:rPr>
          <w:rFonts w:ascii="Calibri" w:hAnsi="Calibri" w:cs="Calibri"/>
          <w:sz w:val="22"/>
          <w:szCs w:val="22"/>
        </w:rPr>
        <w:t>Mi ,</w:t>
      </w:r>
      <w:proofErr w:type="gramEnd"/>
      <w:r w:rsidRPr="0015120D">
        <w:rPr>
          <w:rFonts w:ascii="Calibri" w:hAnsi="Calibri" w:cs="Calibri"/>
          <w:sz w:val="22"/>
          <w:szCs w:val="22"/>
        </w:rPr>
        <w:t> Q)/|Q| is the likelihood that the class selected fits to class Mi.</w:t>
      </w:r>
    </w:p>
    <w:p w14:paraId="5EF4B9CA" w14:textId="77777777" w:rsidR="00334D82" w:rsidRPr="0015120D" w:rsidRDefault="00334D82" w:rsidP="0015120D">
      <w:pPr>
        <w:pStyle w:val="NormalWeb"/>
        <w:spacing w:before="0" w:beforeAutospacing="0" w:after="0" w:afterAutospacing="0" w:line="480" w:lineRule="auto"/>
        <w:jc w:val="both"/>
        <w:rPr>
          <w:rFonts w:ascii="Calibri" w:hAnsi="Calibri" w:cs="Calibri"/>
          <w:sz w:val="22"/>
          <w:szCs w:val="22"/>
        </w:rPr>
      </w:pPr>
      <w:r w:rsidRPr="0015120D">
        <w:rPr>
          <w:rFonts w:ascii="Calibri" w:hAnsi="Calibri" w:cs="Calibri"/>
          <w:sz w:val="22"/>
          <w:szCs w:val="22"/>
        </w:rPr>
        <w:t>A tree with a combination of characteristics grows to maximum depth, with new training data. These fully-grown trees are not cut. That is one of the main advantages of random forest classification compared to many decision</w:t>
      </w:r>
      <w:r w:rsidRPr="0015120D" w:rsidDel="00BB222B">
        <w:rPr>
          <w:rFonts w:ascii="Calibri" w:hAnsi="Calibri" w:cs="Calibri"/>
          <w:sz w:val="22"/>
          <w:szCs w:val="22"/>
        </w:rPr>
        <w:t xml:space="preserve"> </w:t>
      </w:r>
      <w:r w:rsidRPr="0015120D">
        <w:rPr>
          <w:rFonts w:ascii="Calibri" w:hAnsi="Calibri" w:cs="Calibri"/>
          <w:sz w:val="22"/>
          <w:szCs w:val="22"/>
        </w:rPr>
        <w:t xml:space="preserve">-making methodology </w:t>
      </w:r>
      <w:r w:rsidRPr="0015120D">
        <w:rPr>
          <w:rFonts w:ascii="Calibri" w:hAnsi="Calibri" w:cs="Calibri"/>
          <w:sz w:val="22"/>
          <w:szCs w:val="22"/>
        </w:rPr>
        <w:fldChar w:fldCharType="begin" w:fldLock="1"/>
      </w:r>
      <w:r w:rsidRPr="0015120D">
        <w:rPr>
          <w:rFonts w:ascii="Calibri" w:hAnsi="Calibri" w:cs="Calibri"/>
          <w:sz w:val="22"/>
          <w:szCs w:val="22"/>
        </w:rPr>
        <w:instrText>ADDIN CSL_CITATION {"citationItems":[{"id":"ITEM-1","itemData":{"DOI":"10.1023/A:1022699322624","ISSN":"15730565","abstract":"This paper describes FOIL, a system that learns Horn clauses from data expressed as relations. FOIL is based on ideas that have proved effective in attribute-value learning systems, but extends them to a first-order formalism. This new system has been applied successfully to several tasks taken from the machine learning literature. © 1990, Kluwer Academic Publishers. All rights reserved.","author":[{"dropping-particle":"","family":"Quinlan","given":"J. R.","non-dropping-particle":"","parse-names":false,"suffix":""}],"container-title":"Machine Learning","id":"ITEM-1","issue":"3","issued":{"date-parts":[["1990"]]},"page":"239-266","publisher":"Springer","title":"Learning Logical Definitions from Relations","type":"article-journal","volume":"5"},"uris":["http://www.mendeley.com/documents/?uuid=4043af2b-8346-36ed-8e4d-654e3dbc84bc"]}],"mendeley":{"formattedCitation":"(Quinlan 1990)","plainTextFormattedCitation":"(Quinlan 1990)","previouslyFormattedCitation":"(Quinlan 1990)"},"properties":{"noteIndex":0},"schema":"https://github.com/citation-style-language/schema/raw/master/csl-citation.json"}</w:instrText>
      </w:r>
      <w:r w:rsidRPr="0015120D">
        <w:rPr>
          <w:rFonts w:ascii="Calibri" w:hAnsi="Calibri" w:cs="Calibri"/>
          <w:sz w:val="22"/>
          <w:szCs w:val="22"/>
        </w:rPr>
        <w:fldChar w:fldCharType="separate"/>
      </w:r>
      <w:r w:rsidRPr="0015120D">
        <w:rPr>
          <w:rFonts w:ascii="Calibri" w:hAnsi="Calibri" w:cs="Calibri"/>
          <w:noProof/>
          <w:sz w:val="22"/>
          <w:szCs w:val="22"/>
        </w:rPr>
        <w:t>(Quinlan 1990)</w:t>
      </w:r>
      <w:r w:rsidRPr="0015120D">
        <w:rPr>
          <w:rFonts w:ascii="Calibri" w:hAnsi="Calibri" w:cs="Calibri"/>
          <w:sz w:val="22"/>
          <w:szCs w:val="22"/>
        </w:rPr>
        <w:fldChar w:fldCharType="end"/>
      </w:r>
      <w:r w:rsidRPr="0015120D">
        <w:rPr>
          <w:rFonts w:ascii="Calibri" w:hAnsi="Calibri" w:cs="Calibri"/>
          <w:sz w:val="22"/>
          <w:szCs w:val="22"/>
        </w:rPr>
        <w:t xml:space="preserve">. Research indicates that the choice of methods and not of attributes affects tree-based classification accuracy </w:t>
      </w:r>
      <w:r w:rsidRPr="0015120D">
        <w:rPr>
          <w:rFonts w:ascii="Calibri" w:hAnsi="Calibri" w:cs="Calibri"/>
          <w:sz w:val="22"/>
          <w:szCs w:val="22"/>
        </w:rPr>
        <w:fldChar w:fldCharType="begin" w:fldLock="1"/>
      </w:r>
      <w:r w:rsidRPr="0015120D">
        <w:rPr>
          <w:rFonts w:ascii="Calibri" w:hAnsi="Calibri" w:cs="Calibri"/>
          <w:sz w:val="22"/>
          <w:szCs w:val="22"/>
        </w:rPr>
        <w:instrText>ADDIN CSL_CITATION {"citationItems":[{"id":"ITEM-1","itemData":{"DOI":"10.1201/9780367816377-11","ISBN":"9783110941975","abstract":"The role of probabilistic methods in discrete mathematics cannot be overestimated. By defining the probability measure on a set of the studied combinatorial objects various numerical characteristics of these objects can be considered as random variables and studied using the methods of probability theory. The advantage of this approach is the well-developed probabilistic analytic techniques that allow us in many cases to obtain results, the proof of which by other methods appears too complicated, if indeed it is at all possible. The application of probabilistic methods is connected with extensive use of the terminology of probability theory. The reader will easily understand however that one speaks in fact about solving enumerative problems of discrete analysis. One of the primary research lines is the study of the limit properties of combinatorial objects manifested at the unlimited increase of the number of elements comprising such objects. It is often possible to represent the distributions of the characteristics of combinatorial objects as conditional distributions of the sums of independent random variables so that they can be studied using asymptotic methods in probability theory, namely limit theorems for sums of independent random variables.","author":[{"dropping-particle":"","family":"Beriman","given":"Leo","non-dropping-particle":"","parse-names":false,"suffix":""}],"container-title":"Random Forests","id":"ITEM-1","issued":{"date-parts":[["2001"]]},"page":"5-32","title":"Random forests","type":"article-journal","volume":"45"},"uris":["http://www.mendeley.com/documents/?uuid=d9b06bfb-ffc4-4087-8dd2-1d16c90dae4d"]}],"mendeley":{"formattedCitation":"(Beriman 2001)","plainTextFormattedCitation":"(Beriman 2001)","previouslyFormattedCitation":"(Beriman 2001)"},"properties":{"noteIndex":0},"schema":"https://github.com/citation-style-language/schema/raw/master/csl-citation.json"}</w:instrText>
      </w:r>
      <w:r w:rsidRPr="0015120D">
        <w:rPr>
          <w:rFonts w:ascii="Calibri" w:hAnsi="Calibri" w:cs="Calibri"/>
          <w:sz w:val="22"/>
          <w:szCs w:val="22"/>
        </w:rPr>
        <w:fldChar w:fldCharType="separate"/>
      </w:r>
      <w:r w:rsidRPr="0015120D">
        <w:rPr>
          <w:rFonts w:ascii="Calibri" w:hAnsi="Calibri" w:cs="Calibri"/>
          <w:noProof/>
          <w:sz w:val="22"/>
          <w:szCs w:val="22"/>
        </w:rPr>
        <w:t>(Beriman 2001)</w:t>
      </w:r>
      <w:r w:rsidRPr="0015120D">
        <w:rPr>
          <w:rFonts w:ascii="Calibri" w:hAnsi="Calibri" w:cs="Calibri"/>
          <w:sz w:val="22"/>
          <w:szCs w:val="22"/>
        </w:rPr>
        <w:fldChar w:fldCharType="end"/>
      </w:r>
      <w:r w:rsidRPr="0015120D">
        <w:rPr>
          <w:rFonts w:ascii="Calibri" w:hAnsi="Calibri" w:cs="Calibri"/>
          <w:sz w:val="22"/>
          <w:szCs w:val="22"/>
        </w:rPr>
        <w:t>. It indicates generalization's fallacy and always corresponds increase in the number of trees, even without removing a tree. The excessively-fitting is not an issue due to the powerful law of large numbers. In each node, the number of elements used to create a tree and the amount of tree classes needed for the generation of a RF classifier are two user-defined parameters. Also, selected functionality is investigated for the best split in each node. Therefore, the RF definition consists of N trees, while N represents the size of trees that the user can choose. Every case of the datasets is moved to each N trees to classify a new dataset. For that case, the forest selects a class with the most votes out of N.</w:t>
      </w:r>
    </w:p>
    <w:p w14:paraId="26D6A98C" w14:textId="46AD3A9D" w:rsidR="00334D82" w:rsidRPr="0015120D" w:rsidRDefault="0015120D" w:rsidP="0015120D">
      <w:pPr>
        <w:spacing w:line="480" w:lineRule="auto"/>
        <w:jc w:val="both"/>
        <w:rPr>
          <w:rFonts w:hAnsi="Calibri" w:cs="Calibri"/>
          <w:b/>
          <w:bCs/>
          <w:szCs w:val="22"/>
        </w:rPr>
      </w:pPr>
      <w:r w:rsidRPr="0015120D">
        <w:rPr>
          <w:rFonts w:hAnsi="Calibri" w:cs="Calibri"/>
          <w:b/>
          <w:bCs/>
          <w:szCs w:val="22"/>
        </w:rPr>
        <w:t xml:space="preserve">3.4 SUPERVISED CLASSIFICATION </w:t>
      </w:r>
      <w:r>
        <w:rPr>
          <w:rFonts w:hAnsi="Calibri" w:cs="Calibri"/>
          <w:b/>
          <w:bCs/>
          <w:szCs w:val="22"/>
        </w:rPr>
        <w:t>-</w:t>
      </w:r>
      <w:r w:rsidRPr="0015120D">
        <w:rPr>
          <w:rFonts w:hAnsi="Calibri" w:cs="Calibri"/>
          <w:b/>
          <w:bCs/>
          <w:szCs w:val="22"/>
        </w:rPr>
        <w:t xml:space="preserve"> MAXIMUM LIKELIHOOD</w:t>
      </w:r>
      <w:r>
        <w:rPr>
          <w:rFonts w:hAnsi="Calibri" w:cs="Calibri"/>
          <w:b/>
          <w:bCs/>
          <w:szCs w:val="22"/>
        </w:rPr>
        <w:t>:</w:t>
      </w:r>
    </w:p>
    <w:p w14:paraId="1433246C" w14:textId="77777777" w:rsidR="00334D82" w:rsidRPr="0015120D" w:rsidRDefault="00334D82" w:rsidP="0015120D">
      <w:pPr>
        <w:spacing w:line="480" w:lineRule="auto"/>
        <w:jc w:val="both"/>
        <w:rPr>
          <w:rFonts w:hAnsi="Calibri" w:cs="Calibri"/>
          <w:szCs w:val="22"/>
        </w:rPr>
      </w:pPr>
      <w:r w:rsidRPr="0015120D">
        <w:rPr>
          <w:rFonts w:hAnsi="Calibri" w:cs="Calibri"/>
          <w:szCs w:val="22"/>
        </w:rPr>
        <w:t xml:space="preserve">Maximum likelihood is a traditional supervised way of image classification based on the theorem of </w:t>
      </w:r>
      <w:r w:rsidRPr="0015120D">
        <w:rPr>
          <w:rFonts w:hAnsi="Calibri" w:cs="Calibri"/>
          <w:szCs w:val="22"/>
        </w:rPr>
        <w:fldChar w:fldCharType="begin" w:fldLock="1"/>
      </w:r>
      <w:r w:rsidRPr="0015120D">
        <w:rPr>
          <w:rFonts w:hAnsi="Calibri" w:cs="Calibri"/>
          <w:szCs w:val="22"/>
        </w:rPr>
        <w:instrText>ADDIN CSL_CITATION {"citationItems":[{"id":"ITEM-1","itemData":{"DOI":"10.1098/rstl.1763.0053","ISSN":"0261-0523","abstract":"Dear Sir, I Now send you an essay which I have found among the papers of our deceased friend Mr. Bayes, and which, in my opinion, has great merit, and well deserves to be preserved.","author":[{"dropping-particle":"","family":"Thomas","given":"Bayes","non-dropping-particle":"","parse-names":false,"suffix":""}],"container-title":"Philosophical Transactions of the Royal Society of London","id":"ITEM-1","issued":{"date-parts":[["1763","12","31"]]},"page":"370-418","publisher":"The Royal Society","title":"LII. An essay towards solving a problem in the doctrine of chances. By the late Rev. Mr. Bayes, F. R. S. communicated by Mr. Price, in a letter to John Canton, A. M. F. R. S","type":"article-journal","volume":"53"},"uris":["http://www.mendeley.com/documents/?uuid=a1b5dd77-a8a5-32a6-a14c-aa452ce022ea"]}],"mendeley":{"formattedCitation":"(Thomas 1763)","plainTextFormattedCitation":"(Thomas 1763)","previouslyFormattedCitation":"(Thomas 1763)"},"properties":{"noteIndex":0},"schema":"https://github.com/citation-style-language/schema/raw/master/csl-citation.json"}</w:instrText>
      </w:r>
      <w:r w:rsidRPr="0015120D">
        <w:rPr>
          <w:rFonts w:hAnsi="Calibri" w:cs="Calibri"/>
          <w:szCs w:val="22"/>
        </w:rPr>
        <w:fldChar w:fldCharType="separate"/>
      </w:r>
      <w:r w:rsidRPr="0015120D">
        <w:rPr>
          <w:rFonts w:hAnsi="Calibri" w:cs="Calibri"/>
          <w:noProof/>
          <w:szCs w:val="22"/>
        </w:rPr>
        <w:t>(Thomas 1763)</w:t>
      </w:r>
      <w:r w:rsidRPr="0015120D">
        <w:rPr>
          <w:rFonts w:hAnsi="Calibri" w:cs="Calibri"/>
          <w:szCs w:val="22"/>
        </w:rPr>
        <w:fldChar w:fldCharType="end"/>
      </w:r>
      <w:r w:rsidRPr="0015120D">
        <w:rPr>
          <w:rFonts w:hAnsi="Calibri" w:cs="Calibri"/>
          <w:szCs w:val="22"/>
        </w:rPr>
        <w:t xml:space="preserve"> K(</w:t>
      </w:r>
      <w:proofErr w:type="spellStart"/>
      <w:r w:rsidRPr="0015120D">
        <w:rPr>
          <w:rFonts w:hAnsi="Calibri" w:cs="Calibri"/>
          <w:szCs w:val="22"/>
        </w:rPr>
        <w:t>i|ω</w:t>
      </w:r>
      <w:proofErr w:type="spellEnd"/>
      <w:r w:rsidRPr="0015120D">
        <w:rPr>
          <w:rFonts w:hAnsi="Calibri" w:cs="Calibri"/>
          <w:szCs w:val="22"/>
        </w:rPr>
        <w:t xml:space="preserve">), i.e., the likelihood that a pixel with feature vector ω belongs to class </w:t>
      </w:r>
      <w:proofErr w:type="spellStart"/>
      <w:r w:rsidRPr="0015120D">
        <w:rPr>
          <w:rFonts w:hAnsi="Calibri" w:cs="Calibri"/>
          <w:szCs w:val="22"/>
        </w:rPr>
        <w:t>i</w:t>
      </w:r>
      <w:proofErr w:type="spellEnd"/>
      <w:r w:rsidRPr="0015120D">
        <w:rPr>
          <w:rFonts w:hAnsi="Calibri" w:cs="Calibri"/>
          <w:szCs w:val="22"/>
        </w:rPr>
        <w:t xml:space="preserve">, is given by: </w:t>
      </w:r>
    </w:p>
    <w:tbl>
      <w:tblPr>
        <w:tblW w:w="0" w:type="auto"/>
        <w:tblLook w:val="04A0" w:firstRow="1" w:lastRow="0" w:firstColumn="1" w:lastColumn="0" w:noHBand="0" w:noVBand="1"/>
      </w:tblPr>
      <w:tblGrid>
        <w:gridCol w:w="4508"/>
        <w:gridCol w:w="4508"/>
      </w:tblGrid>
      <w:tr w:rsidR="00334D82" w:rsidRPr="0015120D" w14:paraId="0A213A84" w14:textId="77777777" w:rsidTr="00B342EA">
        <w:tc>
          <w:tcPr>
            <w:tcW w:w="4508" w:type="dxa"/>
          </w:tcPr>
          <w:p w14:paraId="0908FE6E" w14:textId="77777777" w:rsidR="00334D82" w:rsidRPr="0015120D" w:rsidRDefault="00334D82" w:rsidP="0015120D">
            <w:pPr>
              <w:spacing w:after="0" w:line="480" w:lineRule="auto"/>
              <w:jc w:val="both"/>
              <w:rPr>
                <w:rFonts w:hAnsi="Calibri" w:cs="Calibri"/>
                <w:szCs w:val="22"/>
              </w:rPr>
            </w:pPr>
            <m:oMathPara>
              <m:oMathParaPr>
                <m:jc m:val="left"/>
              </m:oMathParaPr>
              <m:oMath>
                <m:r>
                  <m:rPr>
                    <m:nor/>
                  </m:rPr>
                  <w:rPr>
                    <w:rFonts w:hAnsi="Calibri" w:cs="Calibri"/>
                    <w:szCs w:val="22"/>
                  </w:rPr>
                  <m:t>S</m:t>
                </m:r>
                <m:d>
                  <m:dPr>
                    <m:sepChr m:val="∣"/>
                    <m:ctrlPr>
                      <w:rPr>
                        <w:rFonts w:ascii="Cambria Math" w:hAnsi="Cambria Math" w:cs="Calibri"/>
                        <w:i/>
                        <w:szCs w:val="22"/>
                      </w:rPr>
                    </m:ctrlPr>
                  </m:dPr>
                  <m:e>
                    <m:r>
                      <m:rPr>
                        <m:nor/>
                      </m:rPr>
                      <w:rPr>
                        <w:rFonts w:hAnsi="Calibri" w:cs="Calibri"/>
                        <w:szCs w:val="22"/>
                      </w:rPr>
                      <m:t>i</m:t>
                    </m:r>
                    <m:ctrlPr>
                      <w:rPr>
                        <w:rFonts w:ascii="Cambria Math" w:hAnsi="Cambria Math" w:cs="Calibri"/>
                        <w:szCs w:val="22"/>
                      </w:rPr>
                    </m:ctrlPr>
                  </m:e>
                  <m:e>
                    <m:r>
                      <m:rPr>
                        <m:sty m:val="p"/>
                      </m:rPr>
                      <w:rPr>
                        <w:rFonts w:ascii="Cambria Math" w:hA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rPr>
                      <w:rPr>
                        <w:rFonts w:hAnsi="Calibri" w:cs="Calibri"/>
                        <w:szCs w:val="22"/>
                      </w:rPr>
                      <m:t>S</m:t>
                    </m:r>
                    <m:d>
                      <m:dPr>
                        <m:sepChr m:val="∣"/>
                        <m:ctrlPr>
                          <w:rPr>
                            <w:rFonts w:ascii="Cambria Math" w:hAnsi="Cambria Math" w:cs="Calibri"/>
                            <w:i/>
                            <w:szCs w:val="22"/>
                          </w:rPr>
                        </m:ctrlPr>
                      </m:dPr>
                      <m:e>
                        <m:r>
                          <m:rPr>
                            <m:sty m:val="p"/>
                          </m:rPr>
                          <w:rPr>
                            <w:rFonts w:ascii="Cambria Math" w:hAnsi="Cambria Math" w:cs="Calibri"/>
                            <w:szCs w:val="22"/>
                          </w:rPr>
                          <m:t>ω</m:t>
                        </m:r>
                        <m:ctrlPr>
                          <w:rPr>
                            <w:rFonts w:ascii="Cambria Math" w:hAnsi="Cambria Math" w:cs="Calibri"/>
                            <w:szCs w:val="22"/>
                          </w:rPr>
                        </m:ctrlPr>
                      </m:e>
                      <m:e>
                        <m:r>
                          <m:rPr>
                            <m:nor/>
                          </m:rPr>
                          <w:rPr>
                            <w:rFonts w:hAnsi="Calibri" w:cs="Calibri"/>
                            <w:szCs w:val="22"/>
                          </w:rPr>
                          <m:t>i</m:t>
                        </m:r>
                      </m:e>
                    </m:d>
                    <m:r>
                      <m:rPr>
                        <m:nor/>
                      </m:rPr>
                      <w:rPr>
                        <w:rFonts w:hAnsi="Calibri" w:cs="Calibri"/>
                        <w:szCs w:val="22"/>
                      </w:rPr>
                      <m:t>S</m:t>
                    </m:r>
                    <m:d>
                      <m:dPr>
                        <m:ctrlPr>
                          <w:rPr>
                            <w:rFonts w:ascii="Cambria Math" w:hAnsi="Cambria Math" w:cs="Calibri"/>
                            <w:i/>
                            <w:szCs w:val="22"/>
                          </w:rPr>
                        </m:ctrlPr>
                      </m:dPr>
                      <m:e>
                        <m:r>
                          <m:rPr>
                            <m:nor/>
                          </m:rPr>
                          <w:rPr>
                            <w:rFonts w:hAnsi="Calibri" w:cs="Calibri"/>
                            <w:szCs w:val="22"/>
                          </w:rPr>
                          <m:t>i</m:t>
                        </m:r>
                      </m:e>
                    </m:d>
                    <m:ctrlPr>
                      <w:rPr>
                        <w:rFonts w:ascii="Cambria Math" w:hAnsi="Cambria Math" w:cs="Calibri"/>
                        <w:i/>
                        <w:szCs w:val="22"/>
                      </w:rPr>
                    </m:ctrlPr>
                  </m:num>
                  <m:den>
                    <m:r>
                      <m:rPr>
                        <m:nor/>
                      </m:rPr>
                      <w:rPr>
                        <w:rFonts w:hAnsi="Calibri" w:cs="Calibri"/>
                        <w:szCs w:val="22"/>
                      </w:rPr>
                      <m:t>S</m:t>
                    </m:r>
                    <m:d>
                      <m:dPr>
                        <m:ctrlPr>
                          <w:rPr>
                            <w:rFonts w:ascii="Cambria Math" w:hAnsi="Cambria Math" w:cs="Calibri"/>
                            <w:i/>
                            <w:szCs w:val="22"/>
                          </w:rPr>
                        </m:ctrlPr>
                      </m:dPr>
                      <m:e>
                        <m:r>
                          <m:rPr>
                            <m:sty m:val="p"/>
                          </m:rPr>
                          <w:rPr>
                            <w:rFonts w:ascii="Cambria Math" w:hAnsi="Cambria Math" w:cs="Calibri"/>
                            <w:szCs w:val="22"/>
                          </w:rPr>
                          <m:t>ω</m:t>
                        </m:r>
                      </m:e>
                    </m:d>
                    <m:ctrlPr>
                      <w:rPr>
                        <w:rFonts w:ascii="Cambria Math" w:hAnsi="Cambria Math" w:cs="Calibri"/>
                        <w:i/>
                        <w:szCs w:val="22"/>
                      </w:rPr>
                    </m:ctrlPr>
                  </m:den>
                </m:f>
              </m:oMath>
            </m:oMathPara>
          </w:p>
        </w:tc>
        <w:tc>
          <w:tcPr>
            <w:tcW w:w="4508" w:type="dxa"/>
          </w:tcPr>
          <w:p w14:paraId="39158878"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(10)</w:t>
            </w:r>
          </w:p>
        </w:tc>
      </w:tr>
    </w:tbl>
    <w:p w14:paraId="37CE820A" w14:textId="77777777" w:rsidR="00334D82" w:rsidRPr="0015120D" w:rsidRDefault="00334D82" w:rsidP="0015120D">
      <w:pPr>
        <w:autoSpaceDE w:val="0"/>
        <w:autoSpaceDN w:val="0"/>
        <w:adjustRightInd w:val="0"/>
        <w:spacing w:after="0" w:line="480" w:lineRule="auto"/>
        <w:jc w:val="both"/>
        <w:rPr>
          <w:rFonts w:eastAsia="Calibri" w:hAnsi="Calibri" w:cs="Calibri"/>
          <w:szCs w:val="22"/>
          <w:lang w:eastAsia="en-US"/>
        </w:rPr>
      </w:pPr>
      <w:r w:rsidRPr="0015120D">
        <w:rPr>
          <w:rFonts w:eastAsia="Calibri" w:hAnsi="Calibri" w:cs="Calibri"/>
          <w:szCs w:val="22"/>
          <w:lang w:eastAsia="en-US"/>
        </w:rPr>
        <w:lastRenderedPageBreak/>
        <w:t>Where, S(</w:t>
      </w:r>
      <w:r w:rsidRPr="0015120D">
        <w:rPr>
          <w:rFonts w:eastAsia="SymbolMT" w:hAnsi="Calibri" w:cs="Calibri"/>
          <w:szCs w:val="22"/>
          <w:lang w:eastAsia="en-US"/>
        </w:rPr>
        <w:t>ω</w:t>
      </w:r>
      <w:r w:rsidRPr="0015120D">
        <w:rPr>
          <w:rFonts w:eastAsia="Calibri" w:hAnsi="Calibri" w:cs="Calibri"/>
          <w:szCs w:val="22"/>
          <w:lang w:eastAsia="en-US"/>
        </w:rPr>
        <w:t>|</w:t>
      </w:r>
      <w:proofErr w:type="spellStart"/>
      <w:r w:rsidRPr="0015120D">
        <w:rPr>
          <w:rFonts w:eastAsia="Calibri" w:hAnsi="Calibri" w:cs="Calibri"/>
          <w:szCs w:val="22"/>
          <w:lang w:eastAsia="en-US"/>
        </w:rPr>
        <w:t>i</w:t>
      </w:r>
      <w:proofErr w:type="spellEnd"/>
      <w:r w:rsidRPr="0015120D">
        <w:rPr>
          <w:rFonts w:eastAsia="Calibri" w:hAnsi="Calibri" w:cs="Calibri"/>
          <w:szCs w:val="22"/>
          <w:lang w:eastAsia="en-US"/>
        </w:rPr>
        <w:t>) is the probability function, S(</w:t>
      </w:r>
      <w:proofErr w:type="spellStart"/>
      <w:r w:rsidRPr="0015120D">
        <w:rPr>
          <w:rFonts w:eastAsia="Calibri" w:hAnsi="Calibri" w:cs="Calibri"/>
          <w:szCs w:val="22"/>
          <w:lang w:eastAsia="en-US"/>
        </w:rPr>
        <w:t>i</w:t>
      </w:r>
      <w:proofErr w:type="spellEnd"/>
      <w:r w:rsidRPr="0015120D">
        <w:rPr>
          <w:rFonts w:eastAsia="Calibri" w:hAnsi="Calibri" w:cs="Calibri"/>
          <w:szCs w:val="22"/>
          <w:lang w:eastAsia="en-US"/>
        </w:rPr>
        <w:t>) is the details a priori, i.e., The likelihood that class "</w:t>
      </w:r>
      <w:proofErr w:type="spellStart"/>
      <w:r w:rsidRPr="0015120D">
        <w:rPr>
          <w:rFonts w:eastAsia="Calibri" w:hAnsi="Calibri" w:cs="Calibri"/>
          <w:szCs w:val="22"/>
          <w:lang w:eastAsia="en-US"/>
        </w:rPr>
        <w:t>i</w:t>
      </w:r>
      <w:proofErr w:type="spellEnd"/>
      <w:r w:rsidRPr="0015120D">
        <w:rPr>
          <w:rFonts w:eastAsia="Calibri" w:hAnsi="Calibri" w:cs="Calibri"/>
          <w:szCs w:val="22"/>
          <w:lang w:eastAsia="en-US"/>
        </w:rPr>
        <w:t>" will occur in the selected area and S</w:t>
      </w:r>
      <w:r w:rsidRPr="0015120D">
        <w:rPr>
          <w:rFonts w:eastAsia="SymbolMT" w:hAnsi="Calibri" w:cs="Calibri"/>
          <w:szCs w:val="22"/>
          <w:lang w:eastAsia="en-US"/>
        </w:rPr>
        <w:t>(</w:t>
      </w:r>
      <w:r w:rsidRPr="0015120D">
        <w:rPr>
          <w:rFonts w:eastAsia="Calibri" w:hAnsi="Calibri" w:cs="Calibri"/>
          <w:b/>
          <w:bCs/>
          <w:szCs w:val="22"/>
          <w:lang w:eastAsia="en-US"/>
        </w:rPr>
        <w:t>ω</w:t>
      </w:r>
      <w:r w:rsidRPr="0015120D">
        <w:rPr>
          <w:rFonts w:eastAsia="SymbolMT" w:hAnsi="Calibri" w:cs="Calibri"/>
          <w:szCs w:val="22"/>
          <w:lang w:eastAsia="en-US"/>
        </w:rPr>
        <w:t xml:space="preserve">) </w:t>
      </w:r>
      <w:r w:rsidRPr="0015120D">
        <w:rPr>
          <w:rFonts w:eastAsia="Calibri" w:hAnsi="Calibri" w:cs="Calibri"/>
          <w:szCs w:val="22"/>
          <w:lang w:eastAsia="en-US"/>
        </w:rPr>
        <w:t xml:space="preserve">is the possibility that </w:t>
      </w:r>
      <w:r w:rsidRPr="0015120D">
        <w:rPr>
          <w:rFonts w:eastAsia="SymbolMT" w:hAnsi="Calibri" w:cs="Calibri"/>
          <w:szCs w:val="22"/>
          <w:lang w:eastAsia="en-US"/>
        </w:rPr>
        <w:t>ω</w:t>
      </w:r>
      <w:r w:rsidRPr="0015120D">
        <w:rPr>
          <w:rFonts w:eastAsia="Calibri" w:hAnsi="Calibri" w:cs="Calibri"/>
          <w:szCs w:val="22"/>
          <w:lang w:eastAsia="en-US"/>
        </w:rPr>
        <w:t xml:space="preserve"> is observed, </w:t>
      </w:r>
      <w:proofErr w:type="gramStart"/>
      <w:r w:rsidRPr="0015120D">
        <w:rPr>
          <w:rFonts w:eastAsia="Calibri" w:hAnsi="Calibri" w:cs="Calibri"/>
          <w:szCs w:val="22"/>
          <w:lang w:eastAsia="en-US"/>
        </w:rPr>
        <w:t>Which</w:t>
      </w:r>
      <w:proofErr w:type="gramEnd"/>
      <w:r w:rsidRPr="0015120D">
        <w:rPr>
          <w:rFonts w:eastAsia="Calibri" w:hAnsi="Calibri" w:cs="Calibri"/>
          <w:szCs w:val="22"/>
          <w:lang w:eastAsia="en-US"/>
        </w:rPr>
        <w:t xml:space="preserve"> can be formulated as:</w:t>
      </w:r>
    </w:p>
    <w:tbl>
      <w:tblPr>
        <w:tblW w:w="0" w:type="auto"/>
        <w:tblLook w:val="04A0" w:firstRow="1" w:lastRow="0" w:firstColumn="1" w:lastColumn="0" w:noHBand="0" w:noVBand="1"/>
      </w:tblPr>
      <w:tblGrid>
        <w:gridCol w:w="4508"/>
        <w:gridCol w:w="4508"/>
      </w:tblGrid>
      <w:tr w:rsidR="00334D82" w:rsidRPr="0015120D" w14:paraId="101D276B" w14:textId="77777777" w:rsidTr="00B342EA">
        <w:tc>
          <w:tcPr>
            <w:tcW w:w="4508" w:type="dxa"/>
          </w:tcPr>
          <w:p w14:paraId="085F9A4B" w14:textId="77777777" w:rsidR="00334D82" w:rsidRPr="0015120D" w:rsidRDefault="00334D82" w:rsidP="0015120D">
            <w:pPr>
              <w:spacing w:after="0" w:line="480" w:lineRule="auto"/>
              <w:rPr>
                <w:rFonts w:hAnsi="Calibri" w:cs="Calibri"/>
                <w:szCs w:val="22"/>
              </w:rPr>
            </w:pPr>
            <m:oMathPara>
              <m:oMath>
                <m:r>
                  <m:rPr>
                    <m:nor/>
                  </m:rPr>
                  <w:rPr>
                    <w:rFonts w:hAnsi="Calibri" w:cs="Calibri"/>
                    <w:szCs w:val="22"/>
                  </w:rPr>
                  <m:t>N</m:t>
                </m:r>
                <m:d>
                  <m:dPr>
                    <m:ctrlPr>
                      <w:rPr>
                        <w:rFonts w:ascii="Cambria Math" w:hAnsi="Cambria Math" w:cs="Calibri"/>
                        <w:i/>
                        <w:szCs w:val="22"/>
                      </w:rPr>
                    </m:ctrlPr>
                  </m:dPr>
                  <m:e>
                    <m:r>
                      <m:rPr>
                        <m:sty m:val="p"/>
                      </m:rPr>
                      <w:rPr>
                        <w:rFonts w:ascii="Cambria Math" w:hAnsi="Cambria Math" w:cs="Calibri"/>
                        <w:szCs w:val="22"/>
                      </w:rPr>
                      <m:t>ω</m:t>
                    </m:r>
                  </m:e>
                </m:d>
                <m:r>
                  <w:rPr>
                    <w:rFonts w:ascii="Cambria Math" w:hAnsi="Cambria Math" w:cs="Calibri"/>
                    <w:szCs w:val="22"/>
                  </w:rPr>
                  <m:t>=</m:t>
                </m:r>
                <m:nary>
                  <m:naryPr>
                    <m:chr m:val="∑"/>
                    <m:ctrlPr>
                      <w:rPr>
                        <w:rFonts w:ascii="Cambria Math" w:hAnsi="Cambria Math" w:cs="Calibri"/>
                        <w:szCs w:val="22"/>
                      </w:rPr>
                    </m:ctrlPr>
                  </m:naryPr>
                  <m:sub>
                    <m:r>
                      <w:rPr>
                        <w:rFonts w:ascii="Cambria Math" w:hAnsi="Cambria Math" w:cs="Calibri"/>
                        <w:szCs w:val="22"/>
                      </w:rPr>
                      <m:t>i=1</m:t>
                    </m:r>
                    <m:ctrlPr>
                      <w:rPr>
                        <w:rFonts w:ascii="Cambria Math" w:hAnsi="Cambria Math" w:cs="Calibri"/>
                        <w:i/>
                        <w:szCs w:val="22"/>
                      </w:rPr>
                    </m:ctrlPr>
                  </m:sub>
                  <m:sup>
                    <m:r>
                      <w:rPr>
                        <w:rFonts w:ascii="Cambria Math" w:hAnsi="Cambria Math" w:cs="Calibri"/>
                        <w:szCs w:val="22"/>
                      </w:rPr>
                      <m:t>M</m:t>
                    </m:r>
                    <m:ctrlPr>
                      <w:rPr>
                        <w:rFonts w:ascii="Cambria Math" w:hAnsi="Cambria Math" w:cs="Calibri"/>
                        <w:i/>
                        <w:szCs w:val="22"/>
                      </w:rPr>
                    </m:ctrlPr>
                  </m:sup>
                  <m:e>
                    <m:r>
                      <m:rPr>
                        <m:nor/>
                      </m:rPr>
                      <w:rPr>
                        <w:rFonts w:hAnsi="Calibri" w:cs="Calibri"/>
                        <w:szCs w:val="22"/>
                      </w:rPr>
                      <m:t>P</m:t>
                    </m:r>
                    <m:d>
                      <m:dPr>
                        <m:sepChr m:val="∣"/>
                        <m:ctrlPr>
                          <w:rPr>
                            <w:rFonts w:ascii="Cambria Math" w:hAnsi="Cambria Math" w:cs="Calibri"/>
                            <w:i/>
                            <w:szCs w:val="22"/>
                          </w:rPr>
                        </m:ctrlPr>
                      </m:dPr>
                      <m:e>
                        <m:r>
                          <m:rPr>
                            <m:sty m:val="p"/>
                          </m:rPr>
                          <w:rPr>
                            <w:rFonts w:ascii="Cambria Math" w:hAnsi="Cambria Math" w:cs="Calibri"/>
                            <w:szCs w:val="22"/>
                          </w:rPr>
                          <m:t>ω</m:t>
                        </m:r>
                        <m:ctrlPr>
                          <w:rPr>
                            <w:rFonts w:ascii="Cambria Math" w:hAnsi="Cambria Math" w:cs="Calibri"/>
                            <w:szCs w:val="22"/>
                          </w:rPr>
                        </m:ctrlPr>
                      </m:e>
                      <m:e>
                        <m:r>
                          <m:rPr>
                            <m:nor/>
                          </m:rPr>
                          <w:rPr>
                            <w:rFonts w:hAnsi="Calibri" w:cs="Calibri"/>
                            <w:szCs w:val="22"/>
                          </w:rPr>
                          <m:t>i</m:t>
                        </m:r>
                      </m:e>
                    </m:d>
                    <m:r>
                      <m:rPr>
                        <m:nor/>
                      </m:rPr>
                      <w:rPr>
                        <w:rFonts w:hAnsi="Calibri" w:cs="Calibri"/>
                        <w:szCs w:val="22"/>
                      </w:rPr>
                      <m:t>P</m:t>
                    </m:r>
                    <m:d>
                      <m:dPr>
                        <m:ctrlPr>
                          <w:rPr>
                            <w:rFonts w:ascii="Cambria Math" w:hAnsi="Cambria Math" w:cs="Calibri"/>
                            <w:i/>
                            <w:szCs w:val="22"/>
                          </w:rPr>
                        </m:ctrlPr>
                      </m:dPr>
                      <m:e>
                        <m:r>
                          <m:rPr>
                            <m:nor/>
                          </m:rPr>
                          <w:rPr>
                            <w:rFonts w:hAnsi="Calibri" w:cs="Calibri"/>
                            <w:szCs w:val="22"/>
                          </w:rPr>
                          <m:t>i</m:t>
                        </m:r>
                      </m:e>
                    </m:d>
                    <m:ctrlPr>
                      <w:rPr>
                        <w:rFonts w:ascii="Cambria Math" w:hAnsi="Cambria Math" w:cs="Calibri"/>
                        <w:i/>
                        <w:szCs w:val="22"/>
                      </w:rPr>
                    </m:ctrlPr>
                  </m:e>
                </m:nary>
              </m:oMath>
            </m:oMathPara>
          </w:p>
        </w:tc>
        <w:tc>
          <w:tcPr>
            <w:tcW w:w="4508" w:type="dxa"/>
          </w:tcPr>
          <w:p w14:paraId="56AEEEDC" w14:textId="77777777" w:rsidR="00334D82" w:rsidRPr="0015120D" w:rsidRDefault="00334D82" w:rsidP="0015120D">
            <w:pPr>
              <w:spacing w:after="0" w:line="480" w:lineRule="auto"/>
              <w:rPr>
                <w:rFonts w:hAnsi="Calibri" w:cs="Calibri"/>
                <w:szCs w:val="22"/>
              </w:rPr>
            </w:pPr>
          </w:p>
          <w:p w14:paraId="100E4FEE" w14:textId="77777777" w:rsidR="00334D82" w:rsidRPr="0015120D" w:rsidRDefault="00334D82" w:rsidP="0015120D">
            <w:pPr>
              <w:spacing w:after="0" w:line="480" w:lineRule="auto"/>
              <w:jc w:val="right"/>
              <w:rPr>
                <w:rFonts w:hAnsi="Calibri" w:cs="Calibri"/>
                <w:szCs w:val="22"/>
              </w:rPr>
            </w:pPr>
            <w:r w:rsidRPr="0015120D">
              <w:rPr>
                <w:rFonts w:hAnsi="Calibri" w:cs="Calibri"/>
                <w:szCs w:val="22"/>
              </w:rPr>
              <w:t>(11)</w:t>
            </w:r>
          </w:p>
        </w:tc>
      </w:tr>
    </w:tbl>
    <w:p w14:paraId="497DF210" w14:textId="77777777" w:rsidR="00334D82" w:rsidRPr="0015120D" w:rsidRDefault="00334D82" w:rsidP="0015120D">
      <w:pPr>
        <w:autoSpaceDE w:val="0"/>
        <w:autoSpaceDN w:val="0"/>
        <w:adjustRightInd w:val="0"/>
        <w:spacing w:after="0" w:line="480" w:lineRule="auto"/>
        <w:jc w:val="both"/>
        <w:rPr>
          <w:rFonts w:eastAsia="Calibri" w:hAnsi="Calibri" w:cs="Calibri"/>
          <w:szCs w:val="22"/>
          <w:lang w:eastAsia="en-US"/>
        </w:rPr>
      </w:pPr>
      <w:r w:rsidRPr="0015120D">
        <w:rPr>
          <w:rFonts w:eastAsia="Calibri" w:hAnsi="Calibri" w:cs="Calibri"/>
          <w:szCs w:val="22"/>
          <w:lang w:eastAsia="en-US"/>
        </w:rPr>
        <w:t>Where, the number of classes is M. N</w:t>
      </w:r>
      <w:r w:rsidRPr="0015120D">
        <w:rPr>
          <w:rFonts w:eastAsia="SymbolMT" w:hAnsi="Calibri" w:cs="Calibri"/>
          <w:szCs w:val="22"/>
          <w:lang w:eastAsia="en-US"/>
        </w:rPr>
        <w:t>(</w:t>
      </w:r>
      <w:r w:rsidRPr="0015120D">
        <w:rPr>
          <w:rFonts w:eastAsia="Calibri" w:hAnsi="Calibri" w:cs="Calibri"/>
          <w:b/>
          <w:bCs/>
          <w:szCs w:val="22"/>
          <w:lang w:eastAsia="en-US"/>
        </w:rPr>
        <w:t>ω</w:t>
      </w:r>
      <w:r w:rsidRPr="0015120D">
        <w:rPr>
          <w:rFonts w:eastAsia="SymbolMT" w:hAnsi="Calibri" w:cs="Calibri"/>
          <w:szCs w:val="22"/>
          <w:lang w:eastAsia="en-US"/>
        </w:rPr>
        <w:t xml:space="preserve">) </w:t>
      </w:r>
      <w:r w:rsidRPr="0015120D">
        <w:rPr>
          <w:rFonts w:eastAsia="Calibri" w:hAnsi="Calibri" w:cs="Calibri"/>
          <w:szCs w:val="22"/>
          <w:lang w:eastAsia="en-US"/>
        </w:rPr>
        <w:t>is often treated as a constant standardisation to ensure</w:t>
      </w:r>
      <m:oMath>
        <m:r>
          <w:rPr>
            <w:rFonts w:ascii="Cambria Math" w:eastAsia="Calibri" w:hAnsi="Cambria Math" w:cs="Calibri"/>
            <w:szCs w:val="22"/>
            <w:lang w:eastAsia="en-US"/>
          </w:rPr>
          <m:t xml:space="preserve"> </m:t>
        </m:r>
        <m:nary>
          <m:naryPr>
            <m:chr m:val="∑"/>
            <m:ctrlPr>
              <w:rPr>
                <w:rFonts w:ascii="Cambria Math" w:eastAsia="Calibri" w:hAnsi="Cambria Math" w:cs="Calibri"/>
                <w:szCs w:val="22"/>
                <w:lang w:eastAsia="en-US"/>
              </w:rPr>
            </m:ctrlPr>
          </m:naryPr>
          <m:sub>
            <m:r>
              <w:rPr>
                <w:rFonts w:ascii="Cambria Math" w:eastAsia="Calibri" w:hAnsi="Cambria Math" w:cs="Calibri"/>
                <w:szCs w:val="22"/>
                <w:lang w:eastAsia="en-US"/>
              </w:rPr>
              <m:t>i=1</m:t>
            </m:r>
            <m:ctrlPr>
              <w:rPr>
                <w:rFonts w:ascii="Cambria Math" w:eastAsia="Calibri" w:hAnsi="Cambria Math" w:cs="Calibri"/>
                <w:i/>
                <w:szCs w:val="22"/>
                <w:lang w:eastAsia="en-US"/>
              </w:rPr>
            </m:ctrlPr>
          </m:sub>
          <m:sup>
            <m:r>
              <w:rPr>
                <w:rFonts w:ascii="Cambria Math" w:eastAsia="Calibri" w:hAnsi="Cambria Math" w:cs="Calibri"/>
                <w:szCs w:val="22"/>
                <w:lang w:eastAsia="en-US"/>
              </w:rPr>
              <m:t>M</m:t>
            </m:r>
            <m:ctrlPr>
              <w:rPr>
                <w:rFonts w:ascii="Cambria Math" w:eastAsia="Calibri" w:hAnsi="Cambria Math" w:cs="Calibri"/>
                <w:i/>
                <w:szCs w:val="22"/>
                <w:lang w:eastAsia="en-US"/>
              </w:rPr>
            </m:ctrlPr>
          </m:sup>
          <m:e>
            <m:r>
              <w:rPr>
                <w:rFonts w:ascii="Cambria Math" w:eastAsia="Calibri" w:hAnsi="Cambria Math" w:cs="Calibri"/>
                <w:szCs w:val="22"/>
                <w:lang w:eastAsia="en-US"/>
              </w:rPr>
              <m:t>P</m:t>
            </m:r>
            <m:d>
              <m:dPr>
                <m:sepChr m:val="∣"/>
                <m:ctrlPr>
                  <w:rPr>
                    <w:rFonts w:ascii="Cambria Math" w:eastAsia="Calibri" w:hAnsi="Cambria Math" w:cs="Calibri"/>
                    <w:i/>
                    <w:szCs w:val="22"/>
                    <w:lang w:eastAsia="en-US"/>
                  </w:rPr>
                </m:ctrlPr>
              </m:dPr>
              <m:e>
                <m:r>
                  <w:rPr>
                    <w:rFonts w:ascii="Cambria Math" w:eastAsia="Calibri" w:hAnsi="Cambria Math" w:cs="Calibri"/>
                    <w:szCs w:val="22"/>
                    <w:lang w:eastAsia="en-US"/>
                  </w:rPr>
                  <m:t>i</m:t>
                </m:r>
                <m:ctrlPr>
                  <w:rPr>
                    <w:rFonts w:ascii="Cambria Math" w:eastAsia="Calibri" w:hAnsi="Cambria Math" w:cs="Calibri"/>
                    <w:szCs w:val="22"/>
                    <w:lang w:eastAsia="en-US"/>
                  </w:rPr>
                </m:ctrlPr>
              </m:e>
              <m:e>
                <m:r>
                  <m:rPr>
                    <m:sty m:val="p"/>
                  </m:rPr>
                  <w:rPr>
                    <w:rFonts w:ascii="Cambria Math" w:eastAsia="Calibri" w:hAnsi="Cambria Math" w:cs="Calibri"/>
                    <w:szCs w:val="22"/>
                    <w:lang w:eastAsia="en-US"/>
                  </w:rPr>
                  <m:t>ω</m:t>
                </m:r>
              </m:e>
            </m:d>
            <m:ctrlPr>
              <w:rPr>
                <w:rFonts w:ascii="Cambria Math" w:eastAsia="Calibri" w:hAnsi="Cambria Math" w:cs="Calibri"/>
                <w:i/>
                <w:szCs w:val="22"/>
                <w:lang w:eastAsia="en-US"/>
              </w:rPr>
            </m:ctrlPr>
          </m:e>
        </m:nary>
      </m:oMath>
      <w:r w:rsidRPr="0015120D">
        <w:rPr>
          <w:rFonts w:hAnsi="Calibri" w:cs="Calibri"/>
          <w:szCs w:val="22"/>
          <w:lang w:eastAsia="en-US"/>
        </w:rPr>
        <w:t xml:space="preserve"> Sums to 1</w:t>
      </w:r>
      <w:r w:rsidRPr="0015120D">
        <w:rPr>
          <w:rFonts w:eastAsia="Calibri" w:hAnsi="Calibri" w:cs="Calibri"/>
          <w:szCs w:val="22"/>
          <w:lang w:eastAsia="en-US"/>
        </w:rPr>
        <w:t xml:space="preserve">. The rule assigns pixel x for class </w:t>
      </w:r>
      <w:proofErr w:type="spellStart"/>
      <w:r w:rsidRPr="0015120D">
        <w:rPr>
          <w:rFonts w:eastAsia="Calibri" w:hAnsi="Calibri" w:cs="Calibri"/>
          <w:szCs w:val="22"/>
          <w:lang w:eastAsia="en-US"/>
        </w:rPr>
        <w:t>i</w:t>
      </w:r>
      <w:proofErr w:type="spellEnd"/>
      <w:r w:rsidRPr="0015120D">
        <w:rPr>
          <w:rFonts w:eastAsia="Calibri" w:hAnsi="Calibri" w:cs="Calibri"/>
          <w:szCs w:val="22"/>
          <w:lang w:eastAsia="en-US"/>
        </w:rPr>
        <w:t>.</w:t>
      </w:r>
    </w:p>
    <w:p w14:paraId="7FBC2082" w14:textId="77777777" w:rsidR="00334D82" w:rsidRPr="0015120D" w:rsidRDefault="00334D82" w:rsidP="0015120D">
      <w:pPr>
        <w:autoSpaceDE w:val="0"/>
        <w:autoSpaceDN w:val="0"/>
        <w:adjustRightInd w:val="0"/>
        <w:spacing w:after="0" w:line="480" w:lineRule="auto"/>
        <w:jc w:val="both"/>
        <w:rPr>
          <w:rFonts w:eastAsia="Calibri" w:hAnsi="Calibri" w:cs="Calibri"/>
          <w:szCs w:val="22"/>
          <w:lang w:eastAsia="en-US"/>
        </w:rPr>
      </w:pPr>
      <w:r w:rsidRPr="0015120D">
        <w:rPr>
          <w:rFonts w:eastAsia="Calibri" w:hAnsi="Calibri" w:cs="Calibri"/>
          <w:szCs w:val="22"/>
          <w:lang w:eastAsia="en-US"/>
        </w:rPr>
        <w:t>Maximum likelihood often assumes that a multivariate Gaussian distribution is reached when the data is distributed within one class. The log probability (or discriminating function) should then be defined:</w:t>
      </w:r>
    </w:p>
    <w:tbl>
      <w:tblPr>
        <w:tblW w:w="9091" w:type="dxa"/>
        <w:tblLook w:val="04A0" w:firstRow="1" w:lastRow="0" w:firstColumn="1" w:lastColumn="0" w:noHBand="0" w:noVBand="1"/>
      </w:tblPr>
      <w:tblGrid>
        <w:gridCol w:w="8344"/>
        <w:gridCol w:w="747"/>
      </w:tblGrid>
      <w:tr w:rsidR="00334D82" w:rsidRPr="0015120D" w14:paraId="2570BDE5" w14:textId="77777777" w:rsidTr="00B342EA">
        <w:trPr>
          <w:trHeight w:val="770"/>
        </w:trPr>
        <w:tc>
          <w:tcPr>
            <w:tcW w:w="8344" w:type="dxa"/>
          </w:tcPr>
          <w:p w14:paraId="6F380D1D" w14:textId="77777777" w:rsidR="00334D82" w:rsidRPr="0015120D" w:rsidRDefault="00000000" w:rsidP="0015120D">
            <w:pPr>
              <w:spacing w:after="0" w:line="480" w:lineRule="auto"/>
              <w:rPr>
                <w:rFonts w:eastAsia="Calibri" w:hAnsi="Calibri" w:cs="Calibri"/>
                <w:szCs w:val="22"/>
                <w:lang w:eastAsia="en-US"/>
              </w:rPr>
            </w:pPr>
            <m:oMathPara>
              <m:oMath>
                <m:sSub>
                  <m:sSubPr>
                    <m:ctrlPr>
                      <w:rPr>
                        <w:rFonts w:ascii="Cambria Math" w:eastAsia="Calibri" w:hAnsi="Cambria Math" w:cs="Calibri"/>
                        <w:i/>
                        <w:szCs w:val="22"/>
                        <w:lang w:eastAsia="en-US"/>
                      </w:rPr>
                    </m:ctrlPr>
                  </m:sSubPr>
                  <m:e>
                    <m:r>
                      <w:rPr>
                        <w:rFonts w:ascii="Cambria Math" w:eastAsia="Calibri" w:hAnsi="Cambria Math" w:cs="Calibri"/>
                        <w:szCs w:val="22"/>
                        <w:lang w:eastAsia="en-US"/>
                      </w:rPr>
                      <m:t>g</m:t>
                    </m:r>
                  </m:e>
                  <m:sub>
                    <m:r>
                      <w:rPr>
                        <w:rFonts w:ascii="Cambria Math" w:eastAsia="Calibri" w:hAnsi="Cambria Math" w:cs="Calibri"/>
                        <w:szCs w:val="22"/>
                        <w:lang w:eastAsia="en-US"/>
                      </w:rPr>
                      <m:t>i</m:t>
                    </m:r>
                  </m:sub>
                </m:sSub>
                <m:d>
                  <m:dPr>
                    <m:ctrlPr>
                      <w:rPr>
                        <w:rFonts w:ascii="Cambria Math" w:eastAsia="Calibri" w:hAnsi="Cambria Math" w:cs="Calibri"/>
                        <w:i/>
                        <w:szCs w:val="22"/>
                        <w:lang w:eastAsia="en-US"/>
                      </w:rPr>
                    </m:ctrlPr>
                  </m:dPr>
                  <m:e>
                    <m:r>
                      <m:rPr>
                        <m:sty m:val="p"/>
                      </m:rPr>
                      <w:rPr>
                        <w:rFonts w:ascii="Cambria Math" w:eastAsia="Calibri" w:hAnsi="Cambria Math" w:cs="Calibri"/>
                        <w:szCs w:val="22"/>
                        <w:lang w:eastAsia="en-US"/>
                      </w:rPr>
                      <m:t>ω</m:t>
                    </m:r>
                  </m:e>
                </m:d>
                <m:r>
                  <w:rPr>
                    <w:rFonts w:ascii="Cambria Math" w:eastAsia="Calibri" w:hAnsi="Cambria Math" w:cs="Calibri"/>
                    <w:szCs w:val="22"/>
                    <w:lang w:eastAsia="en-US"/>
                  </w:rPr>
                  <m:t>=</m:t>
                </m:r>
                <m:func>
                  <m:funcPr>
                    <m:ctrlPr>
                      <w:rPr>
                        <w:rFonts w:ascii="Cambria Math" w:eastAsia="Calibri" w:hAnsi="Cambria Math" w:cs="Calibri"/>
                        <w:szCs w:val="22"/>
                        <w:lang w:eastAsia="en-US"/>
                      </w:rPr>
                    </m:ctrlPr>
                  </m:funcPr>
                  <m:fName>
                    <m:r>
                      <m:rPr>
                        <m:sty m:val="p"/>
                      </m:rPr>
                      <w:rPr>
                        <w:rFonts w:ascii="Cambria Math" w:eastAsia="Calibri" w:hAnsi="Cambria Math" w:cs="Calibri"/>
                        <w:szCs w:val="22"/>
                        <w:lang w:eastAsia="en-US"/>
                      </w:rPr>
                      <m:t>ln</m:t>
                    </m:r>
                    <m:ctrlPr>
                      <w:rPr>
                        <w:rFonts w:ascii="Cambria Math" w:eastAsia="Calibri" w:hAnsi="Cambria Math" w:cs="Calibri"/>
                        <w:i/>
                        <w:szCs w:val="22"/>
                        <w:lang w:eastAsia="en-US"/>
                      </w:rPr>
                    </m:ctrlPr>
                  </m:fName>
                  <m:e>
                    <m:r>
                      <w:rPr>
                        <w:rFonts w:ascii="Cambria Math" w:eastAsia="Calibri" w:hAnsi="Cambria Math" w:cs="Calibri"/>
                        <w:szCs w:val="22"/>
                        <w:lang w:eastAsia="en-US"/>
                      </w:rPr>
                      <m:t>P</m:t>
                    </m:r>
                  </m:e>
                </m:func>
                <m:d>
                  <m:dPr>
                    <m:sepChr m:val="∣"/>
                    <m:ctrlPr>
                      <w:rPr>
                        <w:rFonts w:ascii="Cambria Math" w:eastAsia="Calibri" w:hAnsi="Cambria Math" w:cs="Calibri"/>
                        <w:i/>
                        <w:szCs w:val="22"/>
                        <w:lang w:eastAsia="en-US"/>
                      </w:rPr>
                    </m:ctrlPr>
                  </m:dPr>
                  <m:e>
                    <m:r>
                      <m:rPr>
                        <m:sty m:val="p"/>
                      </m:rPr>
                      <w:rPr>
                        <w:rFonts w:ascii="Cambria Math" w:eastAsia="Calibri" w:hAnsi="Cambria Math" w:cs="Calibri"/>
                        <w:szCs w:val="22"/>
                        <w:lang w:eastAsia="en-US"/>
                      </w:rPr>
                      <m:t>ω</m:t>
                    </m:r>
                    <m:ctrlPr>
                      <w:rPr>
                        <w:rFonts w:ascii="Cambria Math" w:eastAsia="Calibri" w:hAnsi="Cambria Math" w:cs="Calibri"/>
                        <w:szCs w:val="22"/>
                        <w:lang w:eastAsia="en-US"/>
                      </w:rPr>
                    </m:ctrlPr>
                  </m:e>
                  <m:e>
                    <m:r>
                      <w:rPr>
                        <w:rFonts w:ascii="Cambria Math" w:eastAsia="Calibri" w:hAnsi="Cambria Math" w:cs="Calibri"/>
                        <w:szCs w:val="22"/>
                        <w:lang w:eastAsia="en-US"/>
                      </w:rPr>
                      <m:t>i</m:t>
                    </m:r>
                  </m:e>
                </m:d>
                <m:r>
                  <w:rPr>
                    <w:rFonts w:ascii="Cambria Math" w:eastAsia="Calibri" w:hAnsi="Cambria Math" w:cs="Calibri"/>
                    <w:szCs w:val="22"/>
                    <w:lang w:eastAsia="en-US"/>
                  </w:rPr>
                  <m:t>=-</m:t>
                </m:r>
                <m:f>
                  <m:fPr>
                    <m:ctrlPr>
                      <w:rPr>
                        <w:rFonts w:ascii="Cambria Math" w:eastAsia="Calibri" w:hAnsi="Cambria Math" w:cs="Calibri"/>
                        <w:szCs w:val="22"/>
                        <w:lang w:eastAsia="en-US"/>
                      </w:rPr>
                    </m:ctrlPr>
                  </m:fPr>
                  <m:num>
                    <m:r>
                      <w:rPr>
                        <w:rFonts w:ascii="Cambria Math" w:eastAsia="Calibri" w:hAnsi="Cambria Math" w:cs="Calibri"/>
                        <w:szCs w:val="22"/>
                        <w:lang w:eastAsia="en-US"/>
                      </w:rPr>
                      <m:t>1</m:t>
                    </m:r>
                    <m:ctrlPr>
                      <w:rPr>
                        <w:rFonts w:ascii="Cambria Math" w:eastAsia="Calibri" w:hAnsi="Cambria Math" w:cs="Calibri"/>
                        <w:i/>
                        <w:szCs w:val="22"/>
                        <w:lang w:eastAsia="en-US"/>
                      </w:rPr>
                    </m:ctrlPr>
                  </m:num>
                  <m:den>
                    <m:r>
                      <w:rPr>
                        <w:rFonts w:ascii="Cambria Math" w:eastAsia="Calibri" w:hAnsi="Cambria Math" w:cs="Calibri"/>
                        <w:szCs w:val="22"/>
                        <w:lang w:eastAsia="en-US"/>
                      </w:rPr>
                      <m:t>2</m:t>
                    </m:r>
                    <m:ctrlPr>
                      <w:rPr>
                        <w:rFonts w:ascii="Cambria Math" w:eastAsia="Calibri" w:hAnsi="Cambria Math" w:cs="Calibri"/>
                        <w:i/>
                        <w:szCs w:val="22"/>
                        <w:lang w:eastAsia="en-US"/>
                      </w:rPr>
                    </m:ctrlPr>
                  </m:den>
                </m:f>
                <m:sSup>
                  <m:sSupPr>
                    <m:ctrlPr>
                      <w:rPr>
                        <w:rFonts w:ascii="Cambria Math" w:eastAsia="Calibri" w:hAnsi="Cambria Math" w:cs="Calibri"/>
                        <w:i/>
                        <w:szCs w:val="22"/>
                        <w:lang w:eastAsia="en-US"/>
                      </w:rPr>
                    </m:ctrlPr>
                  </m:sSupPr>
                  <m:e>
                    <m:d>
                      <m:dPr>
                        <m:ctrlPr>
                          <w:rPr>
                            <w:rFonts w:ascii="Cambria Math" w:eastAsia="Calibri" w:hAnsi="Cambria Math" w:cs="Calibri"/>
                            <w:szCs w:val="22"/>
                            <w:lang w:eastAsia="en-US"/>
                          </w:rPr>
                        </m:ctrlPr>
                      </m:dPr>
                      <m:e>
                        <m:r>
                          <m:rPr>
                            <m:sty m:val="p"/>
                          </m:rPr>
                          <w:rPr>
                            <w:rFonts w:ascii="Cambria Math" w:eastAsia="Calibri" w:hAnsi="Cambria Math" w:cs="Calibri"/>
                            <w:szCs w:val="22"/>
                            <w:lang w:eastAsia="en-US"/>
                          </w:rPr>
                          <m:t>ω</m:t>
                        </m:r>
                        <m:r>
                          <w:rPr>
                            <w:rFonts w:ascii="Cambria Math" w:eastAsia="Calibri" w:hAnsi="Cambria Math" w:cs="Calibri"/>
                            <w:szCs w:val="22"/>
                            <w:lang w:eastAsia="en-US"/>
                          </w:rPr>
                          <m:t>-</m:t>
                        </m:r>
                        <m:sSub>
                          <m:sSubPr>
                            <m:ctrlPr>
                              <w:rPr>
                                <w:rFonts w:ascii="Cambria Math" w:eastAsia="Calibri" w:hAnsi="Cambria Math" w:cs="Calibri"/>
                                <w:i/>
                                <w:szCs w:val="22"/>
                                <w:lang w:eastAsia="en-US"/>
                              </w:rPr>
                            </m:ctrlPr>
                          </m:sSubPr>
                          <m:e>
                            <m:r>
                              <m:rPr>
                                <m:sty m:val="p"/>
                              </m:rPr>
                              <w:rPr>
                                <w:rFonts w:ascii="Cambria Math" w:eastAsia="Calibri" w:hAnsi="Cambria Math" w:cs="Calibri"/>
                                <w:szCs w:val="22"/>
                                <w:lang w:eastAsia="en-US"/>
                              </w:rPr>
                              <m:t>μ</m:t>
                            </m:r>
                          </m:e>
                          <m:sub>
                            <m:r>
                              <w:rPr>
                                <w:rFonts w:ascii="Cambria Math" w:eastAsia="Calibri" w:hAnsi="Cambria Math" w:cs="Calibri"/>
                                <w:szCs w:val="22"/>
                                <w:lang w:eastAsia="en-US"/>
                              </w:rPr>
                              <m:t>i</m:t>
                            </m:r>
                          </m:sub>
                        </m:sSub>
                        <m:ctrlPr>
                          <w:rPr>
                            <w:rFonts w:ascii="Cambria Math" w:eastAsia="Calibri" w:hAnsi="Cambria Math" w:cs="Calibri"/>
                            <w:i/>
                            <w:szCs w:val="22"/>
                            <w:lang w:eastAsia="en-US"/>
                          </w:rPr>
                        </m:ctrlPr>
                      </m:e>
                    </m:d>
                  </m:e>
                  <m:sup>
                    <m:r>
                      <w:rPr>
                        <w:rFonts w:ascii="Cambria Math" w:eastAsia="Calibri" w:hAnsi="Cambria Math" w:cs="Calibri"/>
                        <w:szCs w:val="22"/>
                        <w:lang w:eastAsia="en-US"/>
                      </w:rPr>
                      <m:t>t</m:t>
                    </m:r>
                  </m:sup>
                </m:sSup>
                <m:sSubSup>
                  <m:sSubSupPr>
                    <m:ctrlPr>
                      <w:rPr>
                        <w:rFonts w:ascii="Cambria Math" w:eastAsia="Calibri" w:hAnsi="Cambria Math" w:cs="Calibri"/>
                        <w:i/>
                        <w:szCs w:val="22"/>
                        <w:lang w:eastAsia="en-US"/>
                      </w:rPr>
                    </m:ctrlPr>
                  </m:sSubSupPr>
                  <m:e>
                    <m:r>
                      <w:rPr>
                        <w:rFonts w:ascii="Cambria Math" w:eastAsia="Calibri" w:hAnsi="Cambria Math" w:cs="Calibri"/>
                        <w:szCs w:val="22"/>
                        <w:lang w:eastAsia="en-US"/>
                      </w:rPr>
                      <m:t>C</m:t>
                    </m:r>
                  </m:e>
                  <m:sub>
                    <m:r>
                      <w:rPr>
                        <w:rFonts w:ascii="Cambria Math" w:eastAsia="Calibri" w:hAnsi="Cambria Math" w:cs="Calibri"/>
                        <w:szCs w:val="22"/>
                        <w:lang w:eastAsia="en-US"/>
                      </w:rPr>
                      <m:t>i</m:t>
                    </m:r>
                  </m:sub>
                  <m:sup>
                    <m:r>
                      <w:rPr>
                        <w:rFonts w:ascii="Cambria Math" w:eastAsia="Calibri" w:hAnsi="Cambria Math" w:cs="Calibri"/>
                        <w:szCs w:val="22"/>
                        <w:lang w:eastAsia="en-US"/>
                      </w:rPr>
                      <m:t>-1</m:t>
                    </m:r>
                  </m:sup>
                </m:sSubSup>
                <m:d>
                  <m:dPr>
                    <m:ctrlPr>
                      <w:rPr>
                        <w:rFonts w:ascii="Cambria Math" w:eastAsia="Calibri" w:hAnsi="Cambria Math" w:cs="Calibri"/>
                        <w:szCs w:val="22"/>
                        <w:lang w:eastAsia="en-US"/>
                      </w:rPr>
                    </m:ctrlPr>
                  </m:dPr>
                  <m:e>
                    <m:r>
                      <m:rPr>
                        <m:sty m:val="p"/>
                      </m:rPr>
                      <w:rPr>
                        <w:rFonts w:ascii="Cambria Math" w:eastAsia="Calibri" w:hAnsi="Cambria Math" w:cs="Calibri"/>
                        <w:szCs w:val="22"/>
                        <w:lang w:eastAsia="en-US"/>
                      </w:rPr>
                      <m:t>ω</m:t>
                    </m:r>
                    <m:r>
                      <w:rPr>
                        <w:rFonts w:ascii="Cambria Math" w:eastAsia="Calibri" w:hAnsi="Cambria Math" w:cs="Calibri"/>
                        <w:szCs w:val="22"/>
                        <w:lang w:eastAsia="en-US"/>
                      </w:rPr>
                      <m:t>-</m:t>
                    </m:r>
                    <m:sSub>
                      <m:sSubPr>
                        <m:ctrlPr>
                          <w:rPr>
                            <w:rFonts w:ascii="Cambria Math" w:eastAsia="Calibri" w:hAnsi="Cambria Math" w:cs="Calibri"/>
                            <w:i/>
                            <w:szCs w:val="22"/>
                            <w:lang w:eastAsia="en-US"/>
                          </w:rPr>
                        </m:ctrlPr>
                      </m:sSubPr>
                      <m:e>
                        <m:r>
                          <m:rPr>
                            <m:sty m:val="p"/>
                          </m:rPr>
                          <w:rPr>
                            <w:rFonts w:ascii="Cambria Math" w:eastAsia="Calibri" w:hAnsi="Cambria Math" w:cs="Calibri"/>
                            <w:szCs w:val="22"/>
                            <w:lang w:eastAsia="en-US"/>
                          </w:rPr>
                          <m:t>μ</m:t>
                        </m:r>
                      </m:e>
                      <m:sub>
                        <m:r>
                          <w:rPr>
                            <w:rFonts w:ascii="Cambria Math" w:eastAsia="Calibri" w:hAnsi="Cambria Math" w:cs="Calibri"/>
                            <w:szCs w:val="22"/>
                            <w:lang w:eastAsia="en-US"/>
                          </w:rPr>
                          <m:t>i</m:t>
                        </m:r>
                      </m:sub>
                    </m:sSub>
                    <m:ctrlPr>
                      <w:rPr>
                        <w:rFonts w:ascii="Cambria Math" w:eastAsia="Calibri" w:hAnsi="Cambria Math" w:cs="Calibri"/>
                        <w:i/>
                        <w:szCs w:val="22"/>
                        <w:lang w:eastAsia="en-US"/>
                      </w:rPr>
                    </m:ctrlPr>
                  </m:e>
                </m:d>
                <m:r>
                  <w:rPr>
                    <w:rFonts w:ascii="Cambria Math" w:eastAsia="Calibri" w:hAnsi="Cambria Math" w:cs="Calibri"/>
                    <w:szCs w:val="22"/>
                    <w:lang w:eastAsia="en-US"/>
                  </w:rPr>
                  <m:t>-</m:t>
                </m:r>
                <m:f>
                  <m:fPr>
                    <m:ctrlPr>
                      <w:rPr>
                        <w:rFonts w:ascii="Cambria Math" w:eastAsia="Calibri" w:hAnsi="Cambria Math" w:cs="Calibri"/>
                        <w:szCs w:val="22"/>
                        <w:lang w:eastAsia="en-US"/>
                      </w:rPr>
                    </m:ctrlPr>
                  </m:fPr>
                  <m:num>
                    <m:r>
                      <w:rPr>
                        <w:rFonts w:ascii="Cambria Math" w:eastAsia="Calibri" w:hAnsi="Cambria Math" w:cs="Calibri"/>
                        <w:szCs w:val="22"/>
                        <w:lang w:eastAsia="en-US"/>
                      </w:rPr>
                      <m:t>N</m:t>
                    </m:r>
                    <m:ctrlPr>
                      <w:rPr>
                        <w:rFonts w:ascii="Cambria Math" w:eastAsia="Calibri" w:hAnsi="Cambria Math" w:cs="Calibri"/>
                        <w:i/>
                        <w:szCs w:val="22"/>
                        <w:lang w:eastAsia="en-US"/>
                      </w:rPr>
                    </m:ctrlPr>
                  </m:num>
                  <m:den>
                    <m:r>
                      <w:rPr>
                        <w:rFonts w:ascii="Cambria Math" w:eastAsia="Calibri" w:hAnsi="Cambria Math" w:cs="Calibri"/>
                        <w:szCs w:val="22"/>
                        <w:lang w:eastAsia="en-US"/>
                      </w:rPr>
                      <m:t>2</m:t>
                    </m:r>
                    <m:ctrlPr>
                      <w:rPr>
                        <w:rFonts w:ascii="Cambria Math" w:eastAsia="Calibri" w:hAnsi="Cambria Math" w:cs="Calibri"/>
                        <w:i/>
                        <w:szCs w:val="22"/>
                        <w:lang w:eastAsia="en-US"/>
                      </w:rPr>
                    </m:ctrlPr>
                  </m:den>
                </m:f>
                <m:func>
                  <m:funcPr>
                    <m:ctrlPr>
                      <w:rPr>
                        <w:rFonts w:ascii="Cambria Math" w:eastAsia="Calibri" w:hAnsi="Cambria Math" w:cs="Calibri"/>
                        <w:szCs w:val="22"/>
                        <w:lang w:eastAsia="en-US"/>
                      </w:rPr>
                    </m:ctrlPr>
                  </m:funcPr>
                  <m:fName>
                    <m:r>
                      <m:rPr>
                        <m:sty m:val="p"/>
                      </m:rPr>
                      <w:rPr>
                        <w:rFonts w:ascii="Cambria Math" w:eastAsia="Calibri" w:hAnsi="Cambria Math" w:cs="Calibri"/>
                        <w:szCs w:val="22"/>
                        <w:lang w:eastAsia="en-US"/>
                      </w:rPr>
                      <m:t>ln</m:t>
                    </m:r>
                    <m:ctrlPr>
                      <w:rPr>
                        <w:rFonts w:ascii="Cambria Math" w:eastAsia="Calibri" w:hAnsi="Cambria Math" w:cs="Calibri"/>
                        <w:i/>
                        <w:szCs w:val="22"/>
                        <w:lang w:eastAsia="en-US"/>
                      </w:rPr>
                    </m:ctrlPr>
                  </m:fName>
                  <m:e>
                    <m:d>
                      <m:dPr>
                        <m:ctrlPr>
                          <w:rPr>
                            <w:rFonts w:ascii="Cambria Math" w:eastAsia="Calibri" w:hAnsi="Cambria Math" w:cs="Calibri"/>
                            <w:i/>
                            <w:szCs w:val="22"/>
                            <w:lang w:eastAsia="en-US"/>
                          </w:rPr>
                        </m:ctrlPr>
                      </m:dPr>
                      <m:e>
                        <m:r>
                          <w:rPr>
                            <w:rFonts w:ascii="Cambria Math" w:eastAsia="Calibri" w:hAnsi="Cambria Math" w:cs="Calibri"/>
                            <w:szCs w:val="22"/>
                            <w:lang w:eastAsia="en-US"/>
                          </w:rPr>
                          <m:t>2</m:t>
                        </m:r>
                        <m:r>
                          <m:rPr>
                            <m:sty m:val="p"/>
                          </m:rPr>
                          <w:rPr>
                            <w:rFonts w:ascii="Cambria Math" w:eastAsia="Calibri" w:hAnsi="Cambria Math" w:cs="Calibri"/>
                            <w:szCs w:val="22"/>
                            <w:lang w:eastAsia="en-US"/>
                          </w:rPr>
                          <m:t>π</m:t>
                        </m:r>
                      </m:e>
                    </m:d>
                  </m:e>
                </m:func>
                <m:r>
                  <w:rPr>
                    <w:rFonts w:ascii="Cambria Math" w:eastAsia="Calibri" w:hAnsi="Cambria Math" w:cs="Calibri"/>
                    <w:szCs w:val="22"/>
                    <w:lang w:eastAsia="en-US"/>
                  </w:rPr>
                  <m:t>-</m:t>
                </m:r>
                <m:f>
                  <m:fPr>
                    <m:ctrlPr>
                      <w:rPr>
                        <w:rFonts w:ascii="Cambria Math" w:eastAsia="Calibri" w:hAnsi="Cambria Math" w:cs="Calibri"/>
                        <w:szCs w:val="22"/>
                        <w:lang w:eastAsia="en-US"/>
                      </w:rPr>
                    </m:ctrlPr>
                  </m:fPr>
                  <m:num>
                    <m:r>
                      <w:rPr>
                        <w:rFonts w:ascii="Cambria Math" w:eastAsia="Calibri" w:hAnsi="Cambria Math" w:cs="Calibri"/>
                        <w:szCs w:val="22"/>
                        <w:lang w:eastAsia="en-US"/>
                      </w:rPr>
                      <m:t>1</m:t>
                    </m:r>
                    <m:ctrlPr>
                      <w:rPr>
                        <w:rFonts w:ascii="Cambria Math" w:eastAsia="Calibri" w:hAnsi="Cambria Math" w:cs="Calibri"/>
                        <w:i/>
                        <w:szCs w:val="22"/>
                        <w:lang w:eastAsia="en-US"/>
                      </w:rPr>
                    </m:ctrlPr>
                  </m:num>
                  <m:den>
                    <m:r>
                      <w:rPr>
                        <w:rFonts w:ascii="Cambria Math" w:eastAsia="Calibri" w:hAnsi="Cambria Math" w:cs="Calibri"/>
                        <w:szCs w:val="22"/>
                        <w:lang w:eastAsia="en-US"/>
                      </w:rPr>
                      <m:t>2</m:t>
                    </m:r>
                    <m:ctrlPr>
                      <w:rPr>
                        <w:rFonts w:ascii="Cambria Math" w:eastAsia="Calibri" w:hAnsi="Cambria Math" w:cs="Calibri"/>
                        <w:i/>
                        <w:szCs w:val="22"/>
                        <w:lang w:eastAsia="en-US"/>
                      </w:rPr>
                    </m:ctrlPr>
                  </m:den>
                </m:f>
                <m:func>
                  <m:funcPr>
                    <m:ctrlPr>
                      <w:rPr>
                        <w:rFonts w:ascii="Cambria Math" w:eastAsia="Calibri" w:hAnsi="Cambria Math" w:cs="Calibri"/>
                        <w:szCs w:val="22"/>
                        <w:lang w:eastAsia="en-US"/>
                      </w:rPr>
                    </m:ctrlPr>
                  </m:funcPr>
                  <m:fName>
                    <m:r>
                      <m:rPr>
                        <m:sty m:val="p"/>
                      </m:rPr>
                      <w:rPr>
                        <w:rFonts w:ascii="Cambria Math" w:eastAsia="Calibri" w:hAnsi="Cambria Math" w:cs="Calibri"/>
                        <w:szCs w:val="22"/>
                        <w:lang w:eastAsia="en-US"/>
                      </w:rPr>
                      <m:t>ln</m:t>
                    </m:r>
                    <m:ctrlPr>
                      <w:rPr>
                        <w:rFonts w:ascii="Cambria Math" w:eastAsia="Calibri" w:hAnsi="Cambria Math" w:cs="Calibri"/>
                        <w:i/>
                        <w:szCs w:val="22"/>
                        <w:lang w:eastAsia="en-US"/>
                      </w:rPr>
                    </m:ctrlPr>
                  </m:fName>
                  <m:e>
                    <m:d>
                      <m:dPr>
                        <m:ctrlPr>
                          <w:rPr>
                            <w:rFonts w:ascii="Cambria Math" w:eastAsia="Calibri" w:hAnsi="Cambria Math" w:cs="Calibri"/>
                            <w:szCs w:val="22"/>
                            <w:lang w:eastAsia="en-US"/>
                          </w:rPr>
                        </m:ctrlPr>
                      </m:dPr>
                      <m:e>
                        <m:d>
                          <m:dPr>
                            <m:begChr m:val="|"/>
                            <m:endChr m:val="|"/>
                            <m:ctrlPr>
                              <w:rPr>
                                <w:rFonts w:ascii="Cambria Math" w:eastAsia="Calibri" w:hAnsi="Cambria Math" w:cs="Calibri"/>
                                <w:szCs w:val="22"/>
                                <w:lang w:eastAsia="en-US"/>
                              </w:rPr>
                            </m:ctrlPr>
                          </m:dPr>
                          <m:e>
                            <m:sSub>
                              <m:sSubPr>
                                <m:ctrlPr>
                                  <w:rPr>
                                    <w:rFonts w:ascii="Cambria Math" w:eastAsia="Calibri" w:hAnsi="Cambria Math" w:cs="Calibri"/>
                                    <w:i/>
                                    <w:szCs w:val="22"/>
                                    <w:lang w:eastAsia="en-US"/>
                                  </w:rPr>
                                </m:ctrlPr>
                              </m:sSubPr>
                              <m:e>
                                <m:r>
                                  <w:rPr>
                                    <w:rFonts w:ascii="Cambria Math" w:eastAsia="Calibri" w:hAnsi="Cambria Math" w:cs="Calibri"/>
                                    <w:szCs w:val="22"/>
                                    <w:lang w:eastAsia="en-US"/>
                                  </w:rPr>
                                  <m:t>C</m:t>
                                </m:r>
                                <m:ctrlPr>
                                  <w:rPr>
                                    <w:rFonts w:ascii="Cambria Math" w:eastAsia="Calibri" w:hAnsi="Cambria Math" w:cs="Calibri"/>
                                    <w:szCs w:val="22"/>
                                    <w:lang w:eastAsia="en-US"/>
                                  </w:rPr>
                                </m:ctrlPr>
                              </m:e>
                              <m:sub>
                                <m:r>
                                  <w:rPr>
                                    <w:rFonts w:ascii="Cambria Math" w:eastAsia="Calibri" w:hAnsi="Cambria Math" w:cs="Calibri"/>
                                    <w:szCs w:val="22"/>
                                    <w:lang w:eastAsia="en-US"/>
                                  </w:rPr>
                                  <m:t>i</m:t>
                                </m:r>
                              </m:sub>
                            </m:sSub>
                            <m:ctrlPr>
                              <w:rPr>
                                <w:rFonts w:ascii="Cambria Math" w:eastAsia="Calibri" w:hAnsi="Cambria Math" w:cs="Calibri"/>
                                <w:i/>
                                <w:szCs w:val="22"/>
                                <w:lang w:eastAsia="en-US"/>
                              </w:rPr>
                            </m:ctrlPr>
                          </m:e>
                        </m:d>
                        <m:ctrlPr>
                          <w:rPr>
                            <w:rFonts w:ascii="Cambria Math" w:eastAsia="Calibri" w:hAnsi="Cambria Math" w:cs="Calibri"/>
                            <w:i/>
                            <w:szCs w:val="22"/>
                            <w:lang w:eastAsia="en-US"/>
                          </w:rPr>
                        </m:ctrlPr>
                      </m:e>
                    </m:d>
                  </m:e>
                </m:func>
              </m:oMath>
            </m:oMathPara>
          </w:p>
        </w:tc>
        <w:tc>
          <w:tcPr>
            <w:tcW w:w="747" w:type="dxa"/>
          </w:tcPr>
          <w:p w14:paraId="545C1555" w14:textId="77777777" w:rsidR="00334D82" w:rsidRPr="0015120D" w:rsidRDefault="00334D82" w:rsidP="0015120D">
            <w:pPr>
              <w:spacing w:after="0" w:line="480" w:lineRule="auto"/>
              <w:jc w:val="right"/>
              <w:rPr>
                <w:rFonts w:eastAsia="Calibri" w:hAnsi="Calibri" w:cs="Calibri"/>
                <w:szCs w:val="22"/>
                <w:lang w:eastAsia="en-US"/>
              </w:rPr>
            </w:pPr>
          </w:p>
          <w:p w14:paraId="6BAB4B32" w14:textId="77777777" w:rsidR="00334D82" w:rsidRPr="0015120D" w:rsidRDefault="00334D82" w:rsidP="0015120D">
            <w:pPr>
              <w:spacing w:after="0" w:line="480" w:lineRule="auto"/>
              <w:rPr>
                <w:rFonts w:eastAsia="Calibri" w:hAnsi="Calibri" w:cs="Calibri"/>
                <w:szCs w:val="22"/>
                <w:lang w:eastAsia="en-US"/>
              </w:rPr>
            </w:pPr>
            <w:r w:rsidRPr="0015120D">
              <w:rPr>
                <w:rFonts w:eastAsia="Calibri" w:hAnsi="Calibri" w:cs="Calibri"/>
                <w:szCs w:val="22"/>
                <w:lang w:eastAsia="en-US"/>
              </w:rPr>
              <w:t>(12)</w:t>
            </w:r>
          </w:p>
        </w:tc>
      </w:tr>
    </w:tbl>
    <w:p w14:paraId="7131B010" w14:textId="77777777" w:rsidR="00334D82" w:rsidRPr="0015120D" w:rsidRDefault="00334D82" w:rsidP="0015120D">
      <w:pPr>
        <w:spacing w:line="480" w:lineRule="auto"/>
        <w:jc w:val="both"/>
        <w:rPr>
          <w:rFonts w:eastAsia="Calibri" w:hAnsi="Calibri" w:cs="Calibri"/>
          <w:szCs w:val="22"/>
          <w:lang w:eastAsia="en-US"/>
        </w:rPr>
      </w:pPr>
      <w:r w:rsidRPr="0015120D">
        <w:rPr>
          <w:rFonts w:eastAsia="Calibri" w:hAnsi="Calibri" w:cs="Calibri"/>
          <w:szCs w:val="22"/>
          <w:lang w:eastAsia="en-US"/>
        </w:rPr>
        <w:t>Since the log is a monotonous function, equation (13) is equivalent to a monotonous function:</w:t>
      </w:r>
    </w:p>
    <w:tbl>
      <w:tblPr>
        <w:tblW w:w="0" w:type="auto"/>
        <w:tblLook w:val="04A0" w:firstRow="1" w:lastRow="0" w:firstColumn="1" w:lastColumn="0" w:noHBand="0" w:noVBand="1"/>
      </w:tblPr>
      <w:tblGrid>
        <w:gridCol w:w="5305"/>
        <w:gridCol w:w="3711"/>
      </w:tblGrid>
      <w:tr w:rsidR="00334D82" w:rsidRPr="0015120D" w14:paraId="6D53FE2B" w14:textId="77777777" w:rsidTr="00B342EA">
        <w:tc>
          <w:tcPr>
            <w:tcW w:w="5305" w:type="dxa"/>
          </w:tcPr>
          <w:p w14:paraId="1A3C46A8" w14:textId="77777777" w:rsidR="00334D82" w:rsidRPr="0015120D" w:rsidRDefault="00334D82" w:rsidP="0015120D">
            <w:pPr>
              <w:spacing w:after="0" w:line="480" w:lineRule="auto"/>
              <w:rPr>
                <w:rFonts w:eastAsia="Calibri" w:hAnsi="Calibri" w:cs="Calibri"/>
                <w:szCs w:val="22"/>
                <w:lang w:eastAsia="en-US"/>
              </w:rPr>
            </w:pPr>
            <m:oMathPara>
              <m:oMath>
                <m:r>
                  <w:rPr>
                    <w:rFonts w:ascii="Cambria Math" w:eastAsia="Calibri" w:hAnsi="Cambria Math" w:cs="Calibri"/>
                    <w:szCs w:val="22"/>
                    <w:lang w:eastAsia="en-US"/>
                  </w:rPr>
                  <m:t>x</m:t>
                </m:r>
                <m:r>
                  <m:rPr>
                    <m:sty m:val="p"/>
                  </m:rPr>
                  <w:rPr>
                    <w:rFonts w:ascii="Cambria Math" w:eastAsia="Calibri" w:hAnsi="Cambria Math" w:cs="Calibri"/>
                    <w:szCs w:val="22"/>
                    <w:lang w:eastAsia="en-US"/>
                  </w:rPr>
                  <m:t>∈</m:t>
                </m:r>
                <m:r>
                  <m:rPr>
                    <m:nor/>
                  </m:rPr>
                  <w:rPr>
                    <w:rFonts w:eastAsia="Calibri" w:hAnsi="Calibri" w:cs="Calibri"/>
                    <w:szCs w:val="22"/>
                    <w:lang w:eastAsia="en-US"/>
                  </w:rPr>
                  <m:t xml:space="preserve">i,  if </m:t>
                </m:r>
                <m:sSub>
                  <m:sSubPr>
                    <m:ctrlPr>
                      <w:rPr>
                        <w:rFonts w:ascii="Cambria Math" w:eastAsia="Calibri" w:hAnsi="Cambria Math" w:cs="Calibri"/>
                        <w:szCs w:val="22"/>
                        <w:lang w:eastAsia="en-US"/>
                      </w:rPr>
                    </m:ctrlPr>
                  </m:sSubPr>
                  <m:e>
                    <m:r>
                      <m:rPr>
                        <m:nor/>
                      </m:rPr>
                      <w:rPr>
                        <w:rFonts w:eastAsia="Calibri" w:hAnsi="Calibri" w:cs="Calibri"/>
                        <w:szCs w:val="22"/>
                        <w:lang w:eastAsia="en-US"/>
                      </w:rPr>
                      <m:t>q</m:t>
                    </m:r>
                  </m:e>
                  <m:sub>
                    <m:r>
                      <m:rPr>
                        <m:nor/>
                      </m:rPr>
                      <w:rPr>
                        <w:rFonts w:eastAsia="Calibri" w:hAnsi="Calibri" w:cs="Calibri"/>
                        <w:szCs w:val="22"/>
                        <w:lang w:eastAsia="en-US"/>
                      </w:rPr>
                      <m:t>i</m:t>
                    </m:r>
                  </m:sub>
                </m:sSub>
                <m:d>
                  <m:dPr>
                    <m:ctrlPr>
                      <w:rPr>
                        <w:rFonts w:ascii="Cambria Math" w:eastAsia="Calibri" w:hAnsi="Cambria Math" w:cs="Calibri"/>
                        <w:i/>
                        <w:szCs w:val="22"/>
                        <w:lang w:eastAsia="en-US"/>
                      </w:rPr>
                    </m:ctrlPr>
                  </m:dPr>
                  <m:e>
                    <m:r>
                      <m:rPr>
                        <m:sty m:val="p"/>
                      </m:rPr>
                      <w:rPr>
                        <w:rFonts w:ascii="Cambria Math" w:eastAsia="Calibri" w:hAnsi="Cambria Math" w:cs="Calibri"/>
                        <w:szCs w:val="22"/>
                        <w:lang w:eastAsia="en-US"/>
                      </w:rPr>
                      <m:t>ω</m:t>
                    </m:r>
                  </m:e>
                </m:d>
                <m:r>
                  <w:rPr>
                    <w:rFonts w:ascii="Cambria Math" w:eastAsia="Calibri" w:hAnsi="Cambria Math" w:cs="Calibri"/>
                    <w:szCs w:val="22"/>
                    <w:lang w:eastAsia="en-US"/>
                  </w:rPr>
                  <m:t>&gt;</m:t>
                </m:r>
                <m:sSub>
                  <m:sSubPr>
                    <m:ctrlPr>
                      <w:rPr>
                        <w:rFonts w:ascii="Cambria Math" w:eastAsia="Calibri" w:hAnsi="Cambria Math" w:cs="Calibri"/>
                        <w:szCs w:val="22"/>
                        <w:lang w:eastAsia="en-US"/>
                      </w:rPr>
                    </m:ctrlPr>
                  </m:sSubPr>
                  <m:e>
                    <m:r>
                      <m:rPr>
                        <m:nor/>
                      </m:rPr>
                      <w:rPr>
                        <w:rFonts w:eastAsia="Calibri" w:hAnsi="Calibri" w:cs="Calibri"/>
                        <w:szCs w:val="22"/>
                        <w:lang w:eastAsia="en-US"/>
                      </w:rPr>
                      <m:t>q</m:t>
                    </m:r>
                  </m:e>
                  <m:sub>
                    <m:r>
                      <m:rPr>
                        <m:nor/>
                      </m:rPr>
                      <w:rPr>
                        <w:rFonts w:eastAsia="Calibri" w:hAnsi="Calibri" w:cs="Calibri"/>
                        <w:szCs w:val="22"/>
                        <w:lang w:eastAsia="en-US"/>
                      </w:rPr>
                      <m:t>j</m:t>
                    </m:r>
                  </m:sub>
                </m:sSub>
                <m:d>
                  <m:dPr>
                    <m:ctrlPr>
                      <w:rPr>
                        <w:rFonts w:ascii="Cambria Math" w:eastAsia="Calibri" w:hAnsi="Cambria Math" w:cs="Calibri"/>
                        <w:i/>
                        <w:szCs w:val="22"/>
                        <w:lang w:eastAsia="en-US"/>
                      </w:rPr>
                    </m:ctrlPr>
                  </m:dPr>
                  <m:e>
                    <m:r>
                      <m:rPr>
                        <m:sty m:val="p"/>
                      </m:rPr>
                      <w:rPr>
                        <w:rFonts w:ascii="Cambria Math" w:eastAsia="Calibri" w:hAnsi="Cambria Math" w:cs="Calibri"/>
                        <w:szCs w:val="22"/>
                        <w:lang w:eastAsia="en-US"/>
                      </w:rPr>
                      <m:t>ω</m:t>
                    </m:r>
                  </m:e>
                </m:d>
                <m:r>
                  <m:rPr>
                    <m:nor/>
                  </m:rPr>
                  <w:rPr>
                    <w:rFonts w:eastAsia="Calibri" w:hAnsi="Calibri" w:cs="Calibri"/>
                    <w:szCs w:val="22"/>
                    <w:lang w:eastAsia="en-US"/>
                  </w:rPr>
                  <m:t xml:space="preserve"> for all j</m:t>
                </m:r>
                <m:r>
                  <m:rPr>
                    <m:sty m:val="p"/>
                  </m:rPr>
                  <w:rPr>
                    <w:rFonts w:ascii="Cambria Math" w:eastAsia="Calibri" w:hAnsi="Cambria Math" w:cs="Calibri"/>
                    <w:szCs w:val="22"/>
                    <w:lang w:eastAsia="en-US"/>
                  </w:rPr>
                  <m:t>≠</m:t>
                </m:r>
                <m:r>
                  <m:rPr>
                    <m:nor/>
                  </m:rPr>
                  <w:rPr>
                    <w:rFonts w:eastAsia="Calibri" w:hAnsi="Calibri" w:cs="Calibri"/>
                    <w:szCs w:val="22"/>
                    <w:lang w:eastAsia="en-US"/>
                  </w:rPr>
                  <m:t>i</m:t>
                </m:r>
              </m:oMath>
            </m:oMathPara>
          </w:p>
        </w:tc>
        <w:tc>
          <w:tcPr>
            <w:tcW w:w="3711" w:type="dxa"/>
          </w:tcPr>
          <w:p w14:paraId="156F63CA" w14:textId="77777777" w:rsidR="00334D82" w:rsidRPr="0015120D" w:rsidRDefault="00334D82" w:rsidP="0015120D">
            <w:pPr>
              <w:spacing w:after="0" w:line="480" w:lineRule="auto"/>
              <w:jc w:val="right"/>
              <w:rPr>
                <w:rFonts w:eastAsia="Calibri" w:hAnsi="Calibri" w:cs="Calibri"/>
                <w:szCs w:val="22"/>
                <w:lang w:eastAsia="en-US"/>
              </w:rPr>
            </w:pPr>
            <w:r w:rsidRPr="0015120D">
              <w:rPr>
                <w:rFonts w:eastAsia="Calibri" w:hAnsi="Calibri" w:cs="Calibri"/>
                <w:szCs w:val="22"/>
                <w:lang w:eastAsia="en-US"/>
              </w:rPr>
              <w:t>(13)</w:t>
            </w:r>
          </w:p>
        </w:tc>
      </w:tr>
    </w:tbl>
    <w:p w14:paraId="4A4AA3E4" w14:textId="77777777" w:rsidR="00334D82" w:rsidRPr="0015120D" w:rsidRDefault="00334D82" w:rsidP="0015120D">
      <w:pPr>
        <w:autoSpaceDE w:val="0"/>
        <w:autoSpaceDN w:val="0"/>
        <w:adjustRightInd w:val="0"/>
        <w:spacing w:after="0" w:line="480" w:lineRule="auto"/>
        <w:jc w:val="both"/>
        <w:rPr>
          <w:rFonts w:eastAsia="Calibri" w:hAnsi="Calibri" w:cs="Calibri"/>
          <w:szCs w:val="22"/>
          <w:lang w:eastAsia="en-US"/>
        </w:rPr>
      </w:pPr>
      <w:r w:rsidRPr="0015120D">
        <w:rPr>
          <w:rFonts w:eastAsia="Calibri" w:hAnsi="Calibri" w:cs="Calibri"/>
          <w:szCs w:val="22"/>
          <w:lang w:eastAsia="en-US"/>
        </w:rPr>
        <w:t xml:space="preserve">As </w:t>
      </w:r>
      <w:r w:rsidRPr="0015120D">
        <w:rPr>
          <w:rFonts w:eastAsia="Calibri" w:hAnsi="Calibri" w:cs="Calibri"/>
          <w:szCs w:val="22"/>
          <w:lang w:eastAsia="en-US"/>
        </w:rPr>
        <w:fldChar w:fldCharType="begin" w:fldLock="1"/>
      </w:r>
      <w:r w:rsidRPr="0015120D">
        <w:rPr>
          <w:rFonts w:eastAsia="Calibri" w:hAnsi="Calibri" w:cs="Calibri"/>
          <w:szCs w:val="22"/>
          <w:lang w:eastAsia="en-US"/>
        </w:rPr>
        <w:instrText>ADDIN CSL_CITATION {"citationItems":[{"id":"ITEM-1","itemData":{"abstract":"A critical problem associated with the southern part of Nigeria is the rapid alteration of the landscape as a result of logging, agricultural practices, human migration and expansion, oil exploration, exploitation and production activities. These processes have had both positive and negative effects on the economic and socio-political development of the country in general. The negative impacts have led not only to the degradation of the ecosystem but also posing hazards to human health and polluting surface and ground water resources. This has created the need for the development of a rapid, cost effective and efficient land use/land cover (LULC) classification technique to monitor the biophysical dynamics in the region. Due to the complex land cover patterns existing in the study area and the occasionally indistinguishable relationship between land cover and spectral signals, this paper introduces a combined use of unsupervised and supervised image classification for detecting land use/land cover (LULC) classes. With the continuous conflict over the impact of oil activities in the area, this work provides a procedure for detecting LULC change, which is an important factor to consider in the design of an environmental decision-making framework. Results from the use of this technique on Landsat TM and ETM+ of 1987 and 2002 are discussed. The results reveal the pros and cons of the two methods and the effects of their overall accuracy on post-classification change detection.","author":[{"dropping-particle":"","family":"Lillesand, T.M., Kiefer, R.W. and Chipman","given":"J.W.","non-dropping-particle":"","parse-names":false,"suffix":""}],"edition":"5th","id":"ITEM-1","issued":{"date-parts":[["2004"]]},"publisher":"John Wiley &amp; Sons","publisher-place":"New York","title":"Remote Sensing and Image Interpretation","type":"book"},"uris":["http://www.mendeley.com/documents/?uuid=58fda69e-a0e0-4757-b651-d007a758031d"]}],"mendeley":{"formattedCitation":"(Lillesand, T.M., Kiefer, R.W. and Chipman 2004)","manualFormatting":"(Lillesand et al., 2004)","plainTextFormattedCitation":"(Lillesand, T.M., Kiefer, R.W. and Chipman 2004)","previouslyFormattedCitation":"(Lillesand, T.M., Kiefer, R.W. and Chipman 2004)"},"properties":{"noteIndex":0},"schema":"https://github.com/citation-style-language/schema/raw/master/csl-citation.json"}</w:instrText>
      </w:r>
      <w:r w:rsidRPr="0015120D">
        <w:rPr>
          <w:rFonts w:eastAsia="Calibri" w:hAnsi="Calibri" w:cs="Calibri"/>
          <w:szCs w:val="22"/>
          <w:lang w:eastAsia="en-US"/>
        </w:rPr>
        <w:fldChar w:fldCharType="separate"/>
      </w:r>
      <w:r w:rsidRPr="0015120D">
        <w:rPr>
          <w:rFonts w:eastAsia="Calibri" w:hAnsi="Calibri" w:cs="Calibri"/>
          <w:noProof/>
          <w:szCs w:val="22"/>
          <w:lang w:eastAsia="en-US"/>
        </w:rPr>
        <w:t>(Lillesand et al., 2004)</w:t>
      </w:r>
      <w:r w:rsidRPr="0015120D">
        <w:rPr>
          <w:rFonts w:eastAsia="Calibri" w:hAnsi="Calibri" w:cs="Calibri"/>
          <w:szCs w:val="22"/>
          <w:lang w:eastAsia="en-US"/>
        </w:rPr>
        <w:fldChar w:fldCharType="end"/>
      </w:r>
      <w:r w:rsidRPr="0015120D">
        <w:rPr>
          <w:rFonts w:eastAsia="Calibri" w:hAnsi="Calibri" w:cs="Calibri"/>
          <w:szCs w:val="22"/>
          <w:lang w:eastAsia="en-US"/>
        </w:rPr>
        <w:t xml:space="preserve"> each pixel will be assigned the highest-life class or labelled as unclassified if the probability is higher.</w:t>
      </w:r>
    </w:p>
    <w:p w14:paraId="047B8180" w14:textId="78DCF629" w:rsidR="00334D82" w:rsidRPr="0015120D" w:rsidRDefault="0015120D" w:rsidP="0015120D">
      <w:pPr>
        <w:autoSpaceDE w:val="0"/>
        <w:autoSpaceDN w:val="0"/>
        <w:adjustRightInd w:val="0"/>
        <w:spacing w:after="0" w:line="480" w:lineRule="auto"/>
        <w:rPr>
          <w:rFonts w:eastAsia="Calibri" w:hAnsi="Calibri" w:cs="Calibri"/>
          <w:b/>
          <w:bCs/>
          <w:szCs w:val="22"/>
          <w:lang w:eastAsia="en-US"/>
        </w:rPr>
      </w:pPr>
      <w:r w:rsidRPr="0015120D">
        <w:rPr>
          <w:rFonts w:eastAsia="Calibri" w:hAnsi="Calibri" w:cs="Calibri"/>
          <w:b/>
          <w:bCs/>
          <w:szCs w:val="22"/>
          <w:lang w:eastAsia="en-US"/>
        </w:rPr>
        <w:t>3.5 MODEL PARAMETERISATION AND TOOL USED</w:t>
      </w:r>
      <w:r>
        <w:rPr>
          <w:rFonts w:eastAsia="Calibri" w:hAnsi="Calibri" w:cs="Calibri"/>
          <w:b/>
          <w:bCs/>
          <w:szCs w:val="22"/>
          <w:lang w:eastAsia="en-US"/>
        </w:rPr>
        <w:t>:</w:t>
      </w:r>
    </w:p>
    <w:p w14:paraId="1123BEAE" w14:textId="77777777" w:rsidR="00334D82" w:rsidRPr="0015120D" w:rsidRDefault="00334D82" w:rsidP="0015120D">
      <w:pPr>
        <w:autoSpaceDE w:val="0"/>
        <w:autoSpaceDN w:val="0"/>
        <w:adjustRightInd w:val="0"/>
        <w:spacing w:after="0" w:line="480" w:lineRule="auto"/>
        <w:jc w:val="both"/>
        <w:rPr>
          <w:rFonts w:eastAsia="Calibri" w:hAnsi="Calibri" w:cs="Calibri"/>
          <w:szCs w:val="22"/>
          <w:lang w:eastAsia="en-US"/>
        </w:rPr>
      </w:pPr>
      <w:r w:rsidRPr="0015120D">
        <w:rPr>
          <w:rFonts w:eastAsia="Calibri" w:hAnsi="Calibri" w:cs="Calibri"/>
          <w:szCs w:val="22"/>
          <w:lang w:eastAsia="en-US"/>
        </w:rPr>
        <w:t xml:space="preserve"> Automatic parameter tuning was </w:t>
      </w:r>
      <w:proofErr w:type="gramStart"/>
      <w:r w:rsidRPr="0015120D">
        <w:rPr>
          <w:rFonts w:eastAsia="Calibri" w:hAnsi="Calibri" w:cs="Calibri"/>
          <w:szCs w:val="22"/>
          <w:lang w:eastAsia="en-US"/>
        </w:rPr>
        <w:t>used</w:t>
      </w:r>
      <w:proofErr w:type="gramEnd"/>
      <w:r w:rsidRPr="0015120D">
        <w:rPr>
          <w:rFonts w:eastAsia="Calibri" w:hAnsi="Calibri" w:cs="Calibri"/>
          <w:szCs w:val="22"/>
          <w:lang w:eastAsia="en-US"/>
        </w:rPr>
        <w:t xml:space="preserve"> and best performing parameters are set for models.  In the SVM model, the "RBF" kernel is used, the gamma value of 0.5 was used. During training, 71 support vectors were generated. In a RF maximum number of trees are 50, the maximum tree depth of 30 and maximum number samples per class 1000 was used. For </w:t>
      </w:r>
      <w:proofErr w:type="spellStart"/>
      <w:r w:rsidRPr="0015120D">
        <w:rPr>
          <w:rFonts w:eastAsia="Calibri" w:hAnsi="Calibri" w:cs="Calibri"/>
          <w:szCs w:val="22"/>
          <w:lang w:eastAsia="en-US"/>
        </w:rPr>
        <w:t>XGBoost</w:t>
      </w:r>
      <w:proofErr w:type="spellEnd"/>
      <w:r w:rsidRPr="0015120D">
        <w:rPr>
          <w:rFonts w:eastAsia="Calibri" w:hAnsi="Calibri" w:cs="Calibri"/>
          <w:szCs w:val="22"/>
          <w:lang w:eastAsia="en-US"/>
        </w:rPr>
        <w:t xml:space="preserve">, maximum depth 60, iteration 100 and eta 0.10 were used. Maximum likelihood based on basic statics generated from pixels. R studio and ArcGIS </w:t>
      </w:r>
      <w:proofErr w:type="gramStart"/>
      <w:r w:rsidRPr="0015120D">
        <w:rPr>
          <w:rFonts w:eastAsia="Calibri" w:hAnsi="Calibri" w:cs="Calibri"/>
          <w:szCs w:val="22"/>
          <w:lang w:eastAsia="en-US"/>
        </w:rPr>
        <w:t>was</w:t>
      </w:r>
      <w:proofErr w:type="gramEnd"/>
      <w:r w:rsidRPr="0015120D">
        <w:rPr>
          <w:rFonts w:eastAsia="Calibri" w:hAnsi="Calibri" w:cs="Calibri"/>
          <w:szCs w:val="22"/>
          <w:lang w:eastAsia="en-US"/>
        </w:rPr>
        <w:t xml:space="preserve"> used for data processing and classification.</w:t>
      </w:r>
    </w:p>
    <w:p w14:paraId="06F1ABA3" w14:textId="4FDC6A85" w:rsidR="00B92FF9" w:rsidRPr="0015120D" w:rsidRDefault="00334D82" w:rsidP="0015120D">
      <w:pPr>
        <w:autoSpaceDE w:val="0"/>
        <w:autoSpaceDN w:val="0"/>
        <w:adjustRightInd w:val="0"/>
        <w:spacing w:after="0" w:line="480" w:lineRule="auto"/>
        <w:ind w:firstLine="720"/>
        <w:jc w:val="both"/>
        <w:rPr>
          <w:rFonts w:eastAsia="Calibri" w:hAnsi="Calibri" w:cs="Calibri"/>
          <w:color w:val="000000" w:themeColor="text1"/>
          <w:szCs w:val="22"/>
          <w:lang w:eastAsia="en-US"/>
        </w:rPr>
      </w:pPr>
      <w:r w:rsidRPr="0015120D">
        <w:rPr>
          <w:rFonts w:eastAsia="Calibri" w:hAnsi="Calibri" w:cs="Calibri"/>
          <w:szCs w:val="22"/>
          <w:lang w:eastAsia="en-US"/>
        </w:rPr>
        <w:t xml:space="preserve">After deciding the parameters, LULC classification have been carried </w:t>
      </w:r>
      <w:proofErr w:type="gramStart"/>
      <w:r w:rsidRPr="0015120D">
        <w:rPr>
          <w:rFonts w:eastAsia="Calibri" w:hAnsi="Calibri" w:cs="Calibri"/>
          <w:szCs w:val="22"/>
          <w:lang w:eastAsia="en-US"/>
        </w:rPr>
        <w:t>out</w:t>
      </w:r>
      <w:proofErr w:type="gramEnd"/>
      <w:r w:rsidRPr="0015120D">
        <w:rPr>
          <w:rFonts w:eastAsia="Calibri" w:hAnsi="Calibri" w:cs="Calibri"/>
          <w:szCs w:val="22"/>
          <w:lang w:eastAsia="en-US"/>
        </w:rPr>
        <w:t xml:space="preserve"> and accuracy assessment were performed for each </w:t>
      </w:r>
      <w:proofErr w:type="gramStart"/>
      <w:r w:rsidRPr="0015120D">
        <w:rPr>
          <w:rFonts w:eastAsia="Calibri" w:hAnsi="Calibri" w:cs="Calibri"/>
          <w:szCs w:val="22"/>
          <w:lang w:eastAsia="en-US"/>
        </w:rPr>
        <w:t>models</w:t>
      </w:r>
      <w:proofErr w:type="gramEnd"/>
      <w:r w:rsidRPr="0015120D">
        <w:rPr>
          <w:rFonts w:eastAsia="Calibri" w:hAnsi="Calibri" w:cs="Calibri"/>
          <w:szCs w:val="22"/>
          <w:lang w:eastAsia="en-US"/>
        </w:rPr>
        <w:t xml:space="preserve">. Classified images are compared with each other pixel by pixel for the spatial distribution of classified pixels. </w:t>
      </w:r>
    </w:p>
    <w:sectPr w:rsidR="00B92FF9" w:rsidRPr="00151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MT">
    <w:altName w:val="Yu Gothic"/>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C1F"/>
    <w:rsid w:val="00016941"/>
    <w:rsid w:val="00023872"/>
    <w:rsid w:val="0015120D"/>
    <w:rsid w:val="001D6BB3"/>
    <w:rsid w:val="00334D82"/>
    <w:rsid w:val="00526C1F"/>
    <w:rsid w:val="006E7ABF"/>
    <w:rsid w:val="00794AAC"/>
    <w:rsid w:val="009E79E1"/>
    <w:rsid w:val="00B92FF9"/>
    <w:rsid w:val="00D65C39"/>
    <w:rsid w:val="00DC43DB"/>
    <w:rsid w:val="00F11AAD"/>
    <w:rsid w:val="00F64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BC153"/>
  <w15:chartTrackingRefBased/>
  <w15:docId w15:val="{9BE4EFEF-D99A-4C46-AD0C-C2FF44166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D82"/>
    <w:pPr>
      <w:spacing w:after="160"/>
    </w:pPr>
    <w:rPr>
      <w:rFonts w:ascii="Calibri" w:eastAsia="Times New Roman" w:hAnsi="Times New Roman" w:cs="Mangal"/>
      <w:kern w:val="0"/>
      <w:szCs w:val="20"/>
      <w:lang w:val="en-IN" w:eastAsia="en-IN" w:bidi="hi-IN"/>
      <w14:ligatures w14:val="none"/>
    </w:rPr>
  </w:style>
  <w:style w:type="paragraph" w:styleId="Heading1">
    <w:name w:val="heading 1"/>
    <w:basedOn w:val="Normal"/>
    <w:next w:val="Normal"/>
    <w:link w:val="Heading1Char"/>
    <w:uiPriority w:val="9"/>
    <w:qFormat/>
    <w:rsid w:val="00526C1F"/>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526C1F"/>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526C1F"/>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526C1F"/>
    <w:pPr>
      <w:keepNext/>
      <w:keepLines/>
      <w:spacing w:before="80" w:after="40"/>
      <w:outlineLvl w:val="3"/>
    </w:pPr>
    <w:rPr>
      <w:rFonts w:asciiTheme="minorHAnsi" w:eastAsiaTheme="majorEastAsia" w:hAnsiTheme="minorHAnsi" w:cstheme="majorBidi"/>
      <w:i/>
      <w:iCs/>
      <w:color w:val="0F4761" w:themeColor="accent1" w:themeShade="BF"/>
      <w:kern w:val="2"/>
      <w:szCs w:val="22"/>
      <w:lang w:val="en-US" w:eastAsia="en-US" w:bidi="ar-SA"/>
      <w14:ligatures w14:val="standardContextual"/>
    </w:rPr>
  </w:style>
  <w:style w:type="paragraph" w:styleId="Heading5">
    <w:name w:val="heading 5"/>
    <w:basedOn w:val="Normal"/>
    <w:next w:val="Normal"/>
    <w:link w:val="Heading5Char"/>
    <w:uiPriority w:val="9"/>
    <w:semiHidden/>
    <w:unhideWhenUsed/>
    <w:qFormat/>
    <w:rsid w:val="00526C1F"/>
    <w:pPr>
      <w:keepNext/>
      <w:keepLines/>
      <w:spacing w:before="80" w:after="40"/>
      <w:outlineLvl w:val="4"/>
    </w:pPr>
    <w:rPr>
      <w:rFonts w:asciiTheme="minorHAnsi" w:eastAsiaTheme="majorEastAsia" w:hAnsiTheme="minorHAnsi" w:cstheme="majorBidi"/>
      <w:color w:val="0F4761" w:themeColor="accent1" w:themeShade="BF"/>
      <w:kern w:val="2"/>
      <w:szCs w:val="22"/>
      <w:lang w:val="en-US" w:eastAsia="en-US" w:bidi="ar-SA"/>
      <w14:ligatures w14:val="standardContextual"/>
    </w:rPr>
  </w:style>
  <w:style w:type="paragraph" w:styleId="Heading6">
    <w:name w:val="heading 6"/>
    <w:basedOn w:val="Normal"/>
    <w:next w:val="Normal"/>
    <w:link w:val="Heading6Char"/>
    <w:uiPriority w:val="9"/>
    <w:semiHidden/>
    <w:unhideWhenUsed/>
    <w:qFormat/>
    <w:rsid w:val="00526C1F"/>
    <w:pPr>
      <w:keepNext/>
      <w:keepLines/>
      <w:spacing w:before="40" w:after="0"/>
      <w:outlineLvl w:val="5"/>
    </w:pPr>
    <w:rPr>
      <w:rFonts w:asciiTheme="minorHAnsi" w:eastAsiaTheme="majorEastAsia" w:hAnsiTheme="minorHAnsi" w:cstheme="majorBidi"/>
      <w:i/>
      <w:iCs/>
      <w:color w:val="595959" w:themeColor="text1" w:themeTint="A6"/>
      <w:kern w:val="2"/>
      <w:szCs w:val="22"/>
      <w:lang w:val="en-US" w:eastAsia="en-US" w:bidi="ar-SA"/>
      <w14:ligatures w14:val="standardContextual"/>
    </w:rPr>
  </w:style>
  <w:style w:type="paragraph" w:styleId="Heading7">
    <w:name w:val="heading 7"/>
    <w:basedOn w:val="Normal"/>
    <w:next w:val="Normal"/>
    <w:link w:val="Heading7Char"/>
    <w:uiPriority w:val="9"/>
    <w:semiHidden/>
    <w:unhideWhenUsed/>
    <w:qFormat/>
    <w:rsid w:val="00526C1F"/>
    <w:pPr>
      <w:keepNext/>
      <w:keepLines/>
      <w:spacing w:before="40" w:after="0"/>
      <w:outlineLvl w:val="6"/>
    </w:pPr>
    <w:rPr>
      <w:rFonts w:asciiTheme="minorHAnsi" w:eastAsiaTheme="majorEastAsia" w:hAnsiTheme="minorHAnsi" w:cstheme="majorBidi"/>
      <w:color w:val="595959" w:themeColor="text1" w:themeTint="A6"/>
      <w:kern w:val="2"/>
      <w:szCs w:val="22"/>
      <w:lang w:val="en-US" w:eastAsia="en-US" w:bidi="ar-SA"/>
      <w14:ligatures w14:val="standardContextual"/>
    </w:rPr>
  </w:style>
  <w:style w:type="paragraph" w:styleId="Heading8">
    <w:name w:val="heading 8"/>
    <w:basedOn w:val="Normal"/>
    <w:next w:val="Normal"/>
    <w:link w:val="Heading8Char"/>
    <w:uiPriority w:val="9"/>
    <w:semiHidden/>
    <w:unhideWhenUsed/>
    <w:qFormat/>
    <w:rsid w:val="00526C1F"/>
    <w:pPr>
      <w:keepNext/>
      <w:keepLines/>
      <w:spacing w:after="0"/>
      <w:outlineLvl w:val="7"/>
    </w:pPr>
    <w:rPr>
      <w:rFonts w:asciiTheme="minorHAnsi" w:eastAsiaTheme="majorEastAsia" w:hAnsiTheme="minorHAnsi" w:cstheme="majorBidi"/>
      <w:i/>
      <w:iCs/>
      <w:color w:val="272727" w:themeColor="text1" w:themeTint="D8"/>
      <w:kern w:val="2"/>
      <w:szCs w:val="22"/>
      <w:lang w:val="en-US" w:eastAsia="en-US" w:bidi="ar-SA"/>
      <w14:ligatures w14:val="standardContextual"/>
    </w:rPr>
  </w:style>
  <w:style w:type="paragraph" w:styleId="Heading9">
    <w:name w:val="heading 9"/>
    <w:basedOn w:val="Normal"/>
    <w:next w:val="Normal"/>
    <w:link w:val="Heading9Char"/>
    <w:uiPriority w:val="9"/>
    <w:semiHidden/>
    <w:unhideWhenUsed/>
    <w:qFormat/>
    <w:rsid w:val="00526C1F"/>
    <w:pPr>
      <w:keepNext/>
      <w:keepLines/>
      <w:spacing w:after="0"/>
      <w:outlineLvl w:val="8"/>
    </w:pPr>
    <w:rPr>
      <w:rFonts w:asciiTheme="minorHAnsi" w:eastAsiaTheme="majorEastAsia" w:hAnsiTheme="minorHAnsi" w:cstheme="majorBidi"/>
      <w:color w:val="272727" w:themeColor="text1" w:themeTint="D8"/>
      <w:kern w:val="2"/>
      <w:szCs w:val="2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6C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6C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6C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6C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6C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6C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6C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6C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6C1F"/>
    <w:rPr>
      <w:rFonts w:eastAsiaTheme="majorEastAsia" w:cstheme="majorBidi"/>
      <w:color w:val="272727" w:themeColor="text1" w:themeTint="D8"/>
    </w:rPr>
  </w:style>
  <w:style w:type="paragraph" w:styleId="Title">
    <w:name w:val="Title"/>
    <w:basedOn w:val="Normal"/>
    <w:next w:val="Normal"/>
    <w:link w:val="TitleChar"/>
    <w:uiPriority w:val="10"/>
    <w:qFormat/>
    <w:rsid w:val="00526C1F"/>
    <w:pPr>
      <w:spacing w:after="80" w:line="240" w:lineRule="auto"/>
      <w:contextualSpacing/>
    </w:pPr>
    <w:rPr>
      <w:rFonts w:asciiTheme="majorHAnsi" w:eastAsiaTheme="majorEastAsia" w:hAnsiTheme="majorHAnsi" w:cstheme="majorBidi"/>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526C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6C1F"/>
    <w:pPr>
      <w:numPr>
        <w:ilvl w:val="1"/>
      </w:numPr>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526C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6C1F"/>
    <w:pPr>
      <w:spacing w:before="160"/>
      <w:jc w:val="center"/>
    </w:pPr>
    <w:rPr>
      <w:rFonts w:asciiTheme="minorHAnsi" w:eastAsiaTheme="minorHAnsi" w:hAnsiTheme="minorHAnsi" w:cstheme="minorBidi"/>
      <w:i/>
      <w:iCs/>
      <w:color w:val="404040" w:themeColor="text1" w:themeTint="BF"/>
      <w:kern w:val="2"/>
      <w:szCs w:val="22"/>
      <w:lang w:val="en-US" w:eastAsia="en-US" w:bidi="ar-SA"/>
      <w14:ligatures w14:val="standardContextual"/>
    </w:rPr>
  </w:style>
  <w:style w:type="character" w:customStyle="1" w:styleId="QuoteChar">
    <w:name w:val="Quote Char"/>
    <w:basedOn w:val="DefaultParagraphFont"/>
    <w:link w:val="Quote"/>
    <w:uiPriority w:val="29"/>
    <w:rsid w:val="00526C1F"/>
    <w:rPr>
      <w:i/>
      <w:iCs/>
      <w:color w:val="404040" w:themeColor="text1" w:themeTint="BF"/>
    </w:rPr>
  </w:style>
  <w:style w:type="paragraph" w:styleId="ListParagraph">
    <w:name w:val="List Paragraph"/>
    <w:basedOn w:val="Normal"/>
    <w:uiPriority w:val="34"/>
    <w:qFormat/>
    <w:rsid w:val="00526C1F"/>
    <w:pPr>
      <w:spacing w:after="0"/>
      <w:ind w:left="720"/>
      <w:contextualSpacing/>
    </w:pPr>
    <w:rPr>
      <w:rFonts w:asciiTheme="minorHAnsi" w:eastAsiaTheme="minorHAnsi" w:hAnsiTheme="minorHAnsi" w:cstheme="minorBidi"/>
      <w:kern w:val="2"/>
      <w:szCs w:val="22"/>
      <w:lang w:val="en-US" w:eastAsia="en-US" w:bidi="ar-SA"/>
      <w14:ligatures w14:val="standardContextual"/>
    </w:rPr>
  </w:style>
  <w:style w:type="character" w:styleId="IntenseEmphasis">
    <w:name w:val="Intense Emphasis"/>
    <w:basedOn w:val="DefaultParagraphFont"/>
    <w:uiPriority w:val="21"/>
    <w:qFormat/>
    <w:rsid w:val="00526C1F"/>
    <w:rPr>
      <w:i/>
      <w:iCs/>
      <w:color w:val="0F4761" w:themeColor="accent1" w:themeShade="BF"/>
    </w:rPr>
  </w:style>
  <w:style w:type="paragraph" w:styleId="IntenseQuote">
    <w:name w:val="Intense Quote"/>
    <w:basedOn w:val="Normal"/>
    <w:next w:val="Normal"/>
    <w:link w:val="IntenseQuoteChar"/>
    <w:uiPriority w:val="30"/>
    <w:qFormat/>
    <w:rsid w:val="00526C1F"/>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Cs w:val="22"/>
      <w:lang w:val="en-US" w:eastAsia="en-US" w:bidi="ar-SA"/>
      <w14:ligatures w14:val="standardContextual"/>
    </w:rPr>
  </w:style>
  <w:style w:type="character" w:customStyle="1" w:styleId="IntenseQuoteChar">
    <w:name w:val="Intense Quote Char"/>
    <w:basedOn w:val="DefaultParagraphFont"/>
    <w:link w:val="IntenseQuote"/>
    <w:uiPriority w:val="30"/>
    <w:rsid w:val="00526C1F"/>
    <w:rPr>
      <w:i/>
      <w:iCs/>
      <w:color w:val="0F4761" w:themeColor="accent1" w:themeShade="BF"/>
    </w:rPr>
  </w:style>
  <w:style w:type="character" w:styleId="IntenseReference">
    <w:name w:val="Intense Reference"/>
    <w:basedOn w:val="DefaultParagraphFont"/>
    <w:uiPriority w:val="32"/>
    <w:qFormat/>
    <w:rsid w:val="00526C1F"/>
    <w:rPr>
      <w:b/>
      <w:bCs/>
      <w:smallCaps/>
      <w:color w:val="0F4761" w:themeColor="accent1" w:themeShade="BF"/>
      <w:spacing w:val="5"/>
    </w:rPr>
  </w:style>
  <w:style w:type="paragraph" w:styleId="NormalWeb">
    <w:name w:val="Normal (Web)"/>
    <w:basedOn w:val="Normal"/>
    <w:uiPriority w:val="99"/>
    <w:semiHidden/>
    <w:unhideWhenUsed/>
    <w:rsid w:val="00334D82"/>
    <w:pPr>
      <w:spacing w:before="100" w:beforeAutospacing="1" w:after="100" w:afterAutospacing="1" w:line="240" w:lineRule="auto"/>
    </w:pPr>
    <w:rPr>
      <w:rFonts w:asci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13428</Words>
  <Characters>70903</Characters>
  <Application>Microsoft Office Word</Application>
  <DocSecurity>0</DocSecurity>
  <Lines>1337</Lines>
  <Paragraphs>702</Paragraphs>
  <ScaleCrop>false</ScaleCrop>
  <Company/>
  <LinksUpToDate>false</LinksUpToDate>
  <CharactersWithSpaces>83629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Rituraj Shukla</dc:creator>
  <cp:keywords/>
  <dc:description/>
  <cp:lastModifiedBy>Rituraj Shukla</cp:lastModifiedBy>
  <cp:revision>5</cp:revision>
  <dcterms:created xsi:type="dcterms:W3CDTF">2025-12-18T22:04:00Z</dcterms:created>
  <dcterms:modified xsi:type="dcterms:W3CDTF">2026-03-14T01:19:00Z</dcterms:modified>
</cp:coreProperties>
</file>